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5FB" w:rsidRDefault="009F7C02">
      <w:pPr>
        <w:widowControl w:val="0"/>
        <w:tabs>
          <w:tab w:val="left" w:pos="4111"/>
        </w:tabs>
        <w:spacing w:after="200" w:line="240" w:lineRule="auto"/>
        <w:ind w:right="-1" w:firstLine="0"/>
        <w:jc w:val="center"/>
        <w:textAlignment w:val="baseline"/>
        <w:rPr>
          <w:rFonts w:eastAsia="MS Mincho"/>
          <w:i/>
          <w:color w:val="auto"/>
          <w:kern w:val="2"/>
          <w:sz w:val="20"/>
          <w:szCs w:val="24"/>
          <w:shd w:val="clear" w:color="auto" w:fill="FFFFFF"/>
          <w:lang w:eastAsia="zh-CN" w:bidi="hi-IN"/>
        </w:rPr>
      </w:pPr>
      <w:bookmarkStart w:id="0" w:name="_Hlk183425160"/>
      <w:bookmarkEnd w:id="0"/>
      <w:r>
        <w:rPr>
          <w:noProof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05FB" w:rsidRDefault="009F7C02">
      <w:pPr>
        <w:spacing w:line="360" w:lineRule="auto"/>
        <w:ind w:right="-1" w:firstLine="0"/>
        <w:jc w:val="center"/>
        <w:textAlignment w:val="baseline"/>
        <w:rPr>
          <w:rFonts w:eastAsia="MS Mincho"/>
          <w:caps/>
          <w:color w:val="auto"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eastAsia="MS Mincho"/>
          <w:caps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9C05FB" w:rsidRDefault="009F7C02">
      <w:pPr>
        <w:spacing w:line="276" w:lineRule="auto"/>
        <w:ind w:firstLine="0"/>
        <w:jc w:val="center"/>
        <w:rPr>
          <w:rFonts w:eastAsia="Calibri"/>
          <w:b/>
          <w:color w:val="auto"/>
          <w:szCs w:val="28"/>
        </w:rPr>
      </w:pPr>
      <w:r>
        <w:rPr>
          <w:rFonts w:eastAsia="MS Mincho"/>
          <w:b/>
          <w:color w:val="auto"/>
          <w:spacing w:val="80"/>
          <w:sz w:val="44"/>
          <w:szCs w:val="44"/>
          <w:lang w:eastAsia="zh-CN" w:bidi="hi-IN"/>
        </w:rPr>
        <w:t>ЗАКОН</w:t>
      </w:r>
      <w:r>
        <w:rPr>
          <w:rFonts w:eastAsia="Calibri"/>
          <w:b/>
          <w:color w:val="auto"/>
          <w:szCs w:val="28"/>
        </w:rPr>
        <w:t xml:space="preserve"> </w:t>
      </w:r>
    </w:p>
    <w:p w:rsidR="009C05FB" w:rsidRDefault="009C05FB">
      <w:pPr>
        <w:spacing w:line="276" w:lineRule="auto"/>
        <w:ind w:firstLine="0"/>
        <w:jc w:val="center"/>
        <w:rPr>
          <w:rFonts w:eastAsia="Calibri"/>
          <w:b/>
          <w:color w:val="auto"/>
          <w:szCs w:val="28"/>
        </w:rPr>
      </w:pPr>
    </w:p>
    <w:p w:rsidR="009C05FB" w:rsidRDefault="009C05FB">
      <w:pPr>
        <w:widowControl w:val="0"/>
        <w:spacing w:line="276" w:lineRule="auto"/>
        <w:ind w:firstLine="0"/>
        <w:jc w:val="center"/>
        <w:rPr>
          <w:rFonts w:eastAsia="MS Mincho"/>
          <w:b/>
          <w:color w:val="auto"/>
          <w:szCs w:val="28"/>
          <w:lang w:eastAsia="ja-JP"/>
        </w:rPr>
      </w:pPr>
    </w:p>
    <w:p w:rsidR="009C05FB" w:rsidRDefault="009F7C02">
      <w:pPr>
        <w:spacing w:line="240" w:lineRule="auto"/>
        <w:ind w:firstLine="0"/>
        <w:jc w:val="center"/>
        <w:rPr>
          <w:b/>
          <w:caps/>
          <w:highlight w:val="white"/>
        </w:rPr>
      </w:pPr>
      <w:r>
        <w:rPr>
          <w:b/>
          <w:caps/>
          <w:highlight w:val="white"/>
        </w:rPr>
        <w:t xml:space="preserve">ОБ УТВЕРЖДЕНИИ ПРОГНОЗНОГО ПЛАНА (ПРОГРАММЫ) ПРИВАТИЗАЦИИ ИМУЩЕСТВА, НАХОДЯЩЕГОСЯ </w:t>
      </w:r>
      <w:r>
        <w:br/>
      </w:r>
      <w:r>
        <w:rPr>
          <w:b/>
          <w:caps/>
          <w:highlight w:val="white"/>
        </w:rPr>
        <w:t>В СОБСТВЕННОСТИ Донецкой народной республики,</w:t>
      </w:r>
    </w:p>
    <w:p w:rsidR="009C05FB" w:rsidRDefault="009F7C02">
      <w:pPr>
        <w:spacing w:line="240" w:lineRule="auto"/>
        <w:ind w:firstLine="0"/>
        <w:jc w:val="center"/>
        <w:rPr>
          <w:b/>
          <w:caps/>
          <w:highlight w:val="white"/>
        </w:rPr>
      </w:pPr>
      <w:r>
        <w:rPr>
          <w:b/>
          <w:caps/>
          <w:highlight w:val="white"/>
        </w:rPr>
        <w:t>НА 2026 год</w:t>
      </w:r>
    </w:p>
    <w:p w:rsidR="009C05FB" w:rsidRDefault="009C05FB">
      <w:pPr>
        <w:spacing w:line="276" w:lineRule="auto"/>
        <w:ind w:firstLine="0"/>
        <w:jc w:val="center"/>
        <w:rPr>
          <w:rFonts w:eastAsia="Calibri"/>
          <w:b/>
          <w:szCs w:val="28"/>
        </w:rPr>
      </w:pPr>
    </w:p>
    <w:p w:rsidR="009C05FB" w:rsidRDefault="009C05FB">
      <w:pPr>
        <w:spacing w:line="276" w:lineRule="auto"/>
        <w:ind w:firstLine="0"/>
        <w:jc w:val="center"/>
        <w:rPr>
          <w:rFonts w:eastAsia="Calibri"/>
          <w:b/>
          <w:szCs w:val="28"/>
        </w:rPr>
      </w:pPr>
    </w:p>
    <w:p w:rsidR="009C05FB" w:rsidRDefault="009F7C02">
      <w:pPr>
        <w:widowControl w:val="0"/>
        <w:spacing w:line="240" w:lineRule="auto"/>
        <w:ind w:firstLine="0"/>
        <w:jc w:val="center"/>
        <w:rPr>
          <w:rFonts w:eastAsia="MS Mincho"/>
          <w:b/>
          <w:szCs w:val="28"/>
          <w:lang w:eastAsia="ja-JP"/>
        </w:rPr>
      </w:pPr>
      <w:r>
        <w:rPr>
          <w:rFonts w:eastAsia="MS Mincho"/>
          <w:b/>
          <w:szCs w:val="28"/>
          <w:lang w:eastAsia="ja-JP"/>
        </w:rPr>
        <w:t>П</w:t>
      </w:r>
      <w:bookmarkStart w:id="1" w:name="_Hlk170374149"/>
      <w:r>
        <w:rPr>
          <w:rFonts w:eastAsia="MS Mincho"/>
          <w:b/>
          <w:szCs w:val="28"/>
          <w:lang w:eastAsia="ja-JP"/>
        </w:rPr>
        <w:t>ринят Постановлением Народного Совета 13 февраля 2026 года</w:t>
      </w:r>
      <w:bookmarkEnd w:id="1"/>
    </w:p>
    <w:p w:rsidR="009C05FB" w:rsidRDefault="009C05FB">
      <w:pPr>
        <w:widowControl w:val="0"/>
        <w:spacing w:line="240" w:lineRule="auto"/>
        <w:ind w:firstLine="0"/>
        <w:jc w:val="center"/>
        <w:rPr>
          <w:rFonts w:eastAsia="MS Mincho"/>
          <w:b/>
          <w:szCs w:val="28"/>
          <w:lang w:eastAsia="ja-JP"/>
        </w:rPr>
      </w:pPr>
    </w:p>
    <w:p w:rsidR="009C05FB" w:rsidRDefault="008C2B2D">
      <w:pPr>
        <w:widowControl w:val="0"/>
        <w:spacing w:line="240" w:lineRule="auto"/>
        <w:ind w:firstLine="0"/>
        <w:jc w:val="center"/>
        <w:rPr>
          <w:rFonts w:eastAsia="MS Mincho"/>
          <w:i/>
          <w:iCs/>
          <w:szCs w:val="28"/>
          <w:lang w:eastAsia="ja-JP"/>
        </w:rPr>
      </w:pPr>
      <w:hyperlink r:id="rId7">
        <w:r w:rsidR="009F7C02">
          <w:rPr>
            <w:rStyle w:val="a5"/>
            <w:rFonts w:eastAsia="MS Mincho"/>
            <w:i/>
            <w:iCs/>
            <w:szCs w:val="28"/>
            <w:lang w:eastAsia="ja-JP"/>
          </w:rPr>
          <w:t>(С изменениями, внесенными Законом от 02.09.2026 № 319-РЗ)</w:t>
        </w:r>
      </w:hyperlink>
    </w:p>
    <w:p w:rsidR="009C05FB" w:rsidRDefault="009C05FB">
      <w:pPr>
        <w:spacing w:line="276" w:lineRule="auto"/>
        <w:ind w:firstLine="0"/>
        <w:jc w:val="center"/>
        <w:rPr>
          <w:rFonts w:eastAsia="Calibri"/>
          <w:i/>
          <w:iCs/>
          <w:szCs w:val="28"/>
        </w:rPr>
      </w:pPr>
    </w:p>
    <w:p w:rsidR="009C05FB" w:rsidRDefault="009C05FB">
      <w:pPr>
        <w:spacing w:line="276" w:lineRule="auto"/>
        <w:ind w:firstLine="0"/>
        <w:jc w:val="center"/>
        <w:rPr>
          <w:rFonts w:eastAsia="Calibri"/>
          <w:b/>
          <w:szCs w:val="28"/>
        </w:rPr>
      </w:pPr>
    </w:p>
    <w:p w:rsidR="009C05FB" w:rsidRDefault="009F7C02">
      <w:pPr>
        <w:pStyle w:val="ConsPlusTitle1"/>
        <w:spacing w:line="276" w:lineRule="auto"/>
        <w:ind w:firstLine="709"/>
        <w:jc w:val="both"/>
        <w:outlineLvl w:val="0"/>
      </w:pPr>
      <w:r>
        <w:t>Статья 1</w:t>
      </w:r>
    </w:p>
    <w:p w:rsidR="009C05FB" w:rsidRDefault="009C05FB">
      <w:pPr>
        <w:pStyle w:val="ConsPlusTitle1"/>
        <w:spacing w:line="276" w:lineRule="auto"/>
        <w:ind w:firstLine="709"/>
        <w:jc w:val="both"/>
        <w:outlineLvl w:val="0"/>
      </w:pPr>
    </w:p>
    <w:p w:rsidR="009C05FB" w:rsidRDefault="009F7C02">
      <w:pPr>
        <w:pStyle w:val="af8"/>
        <w:spacing w:beforeAutospacing="0" w:afterAutospacing="0"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Утвердить прогнозный план (программу) приватизации имущества, находящегося в собственности Донецкой Народной Республики, на 2026 год согласно </w:t>
      </w:r>
      <w:proofErr w:type="gramStart"/>
      <w:r>
        <w:rPr>
          <w:sz w:val="28"/>
        </w:rPr>
        <w:t>приложению</w:t>
      </w:r>
      <w:proofErr w:type="gramEnd"/>
      <w:r>
        <w:rPr>
          <w:sz w:val="28"/>
        </w:rPr>
        <w:t xml:space="preserve"> к настоящему Закону.</w:t>
      </w:r>
    </w:p>
    <w:p w:rsidR="009C05FB" w:rsidRDefault="009C05FB">
      <w:pPr>
        <w:pStyle w:val="a4"/>
        <w:tabs>
          <w:tab w:val="left" w:pos="1140"/>
        </w:tabs>
        <w:spacing w:line="276" w:lineRule="auto"/>
        <w:ind w:left="0" w:firstLine="709"/>
        <w:rPr>
          <w:b/>
          <w:sz w:val="28"/>
        </w:rPr>
      </w:pPr>
    </w:p>
    <w:p w:rsidR="009C05FB" w:rsidRDefault="009F7C02">
      <w:pPr>
        <w:pStyle w:val="a4"/>
        <w:tabs>
          <w:tab w:val="left" w:pos="1140"/>
        </w:tabs>
        <w:spacing w:line="276" w:lineRule="auto"/>
        <w:ind w:left="0" w:firstLine="709"/>
        <w:rPr>
          <w:b/>
          <w:sz w:val="28"/>
        </w:rPr>
      </w:pPr>
      <w:r>
        <w:rPr>
          <w:b/>
          <w:sz w:val="28"/>
        </w:rPr>
        <w:t>Статья 2</w:t>
      </w:r>
    </w:p>
    <w:p w:rsidR="009C05FB" w:rsidRDefault="009C05FB">
      <w:pPr>
        <w:pStyle w:val="a4"/>
        <w:tabs>
          <w:tab w:val="left" w:pos="1140"/>
        </w:tabs>
        <w:spacing w:line="276" w:lineRule="auto"/>
        <w:ind w:left="0" w:firstLine="709"/>
        <w:rPr>
          <w:b/>
          <w:sz w:val="28"/>
        </w:rPr>
      </w:pPr>
    </w:p>
    <w:p w:rsidR="009C05FB" w:rsidRDefault="009F7C02">
      <w:pPr>
        <w:pStyle w:val="af8"/>
        <w:spacing w:beforeAutospacing="0" w:afterAutospacing="0" w:line="276" w:lineRule="auto"/>
        <w:ind w:firstLine="709"/>
        <w:jc w:val="both"/>
        <w:rPr>
          <w:sz w:val="28"/>
        </w:rPr>
      </w:pPr>
      <w:bookmarkStart w:id="2" w:name="_Hlk183425237"/>
      <w:r>
        <w:rPr>
          <w:sz w:val="28"/>
        </w:rPr>
        <w:t>Настоящий Закон вступает в силу со дня его официального опубликования.</w:t>
      </w:r>
      <w:bookmarkEnd w:id="2"/>
    </w:p>
    <w:p w:rsidR="009C05FB" w:rsidRDefault="009C05FB">
      <w:pPr>
        <w:widowControl w:val="0"/>
        <w:spacing w:line="276" w:lineRule="auto"/>
        <w:ind w:firstLine="0"/>
        <w:jc w:val="both"/>
        <w:rPr>
          <w:color w:val="auto"/>
          <w:szCs w:val="28"/>
          <w:lang w:bidi="ru-RU"/>
        </w:rPr>
      </w:pPr>
    </w:p>
    <w:p w:rsidR="009C05FB" w:rsidRDefault="009C05FB">
      <w:pPr>
        <w:widowControl w:val="0"/>
        <w:spacing w:line="276" w:lineRule="auto"/>
        <w:ind w:firstLine="0"/>
        <w:jc w:val="both"/>
        <w:rPr>
          <w:color w:val="auto"/>
          <w:szCs w:val="28"/>
          <w:lang w:bidi="ru-RU"/>
        </w:rPr>
      </w:pPr>
    </w:p>
    <w:p w:rsidR="009C05FB" w:rsidRDefault="009C05FB">
      <w:pPr>
        <w:widowControl w:val="0"/>
        <w:spacing w:line="276" w:lineRule="auto"/>
        <w:ind w:firstLine="0"/>
        <w:jc w:val="both"/>
        <w:rPr>
          <w:color w:val="auto"/>
          <w:szCs w:val="28"/>
          <w:lang w:bidi="ru-RU"/>
        </w:rPr>
      </w:pPr>
    </w:p>
    <w:p w:rsidR="009C05FB" w:rsidRDefault="009C05FB">
      <w:pPr>
        <w:spacing w:line="276" w:lineRule="auto"/>
        <w:ind w:firstLine="0"/>
        <w:jc w:val="both"/>
        <w:rPr>
          <w:rFonts w:eastAsia="Calibri"/>
          <w:szCs w:val="28"/>
          <w:lang w:eastAsia="en-US"/>
        </w:rPr>
      </w:pPr>
    </w:p>
    <w:p w:rsidR="009C05FB" w:rsidRDefault="009F7C02">
      <w:pPr>
        <w:spacing w:line="276" w:lineRule="auto"/>
        <w:ind w:firstLine="0"/>
        <w:jc w:val="both"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 xml:space="preserve">Глава </w:t>
      </w:r>
    </w:p>
    <w:p w:rsidR="009C05FB" w:rsidRDefault="009F7C02">
      <w:pPr>
        <w:spacing w:after="240" w:line="276" w:lineRule="auto"/>
        <w:ind w:firstLine="0"/>
        <w:jc w:val="both"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Донецкой Народной Республики</w:t>
      </w:r>
      <w:r>
        <w:rPr>
          <w:rFonts w:eastAsia="Calibri"/>
          <w:color w:val="auto"/>
          <w:szCs w:val="28"/>
        </w:rPr>
        <w:tab/>
      </w:r>
      <w:r>
        <w:rPr>
          <w:rFonts w:eastAsia="Calibri"/>
          <w:color w:val="auto"/>
          <w:szCs w:val="28"/>
        </w:rPr>
        <w:tab/>
      </w:r>
      <w:r>
        <w:rPr>
          <w:rFonts w:eastAsia="Calibri"/>
          <w:color w:val="auto"/>
          <w:szCs w:val="28"/>
        </w:rPr>
        <w:tab/>
      </w:r>
      <w:r>
        <w:rPr>
          <w:rFonts w:eastAsia="Calibri"/>
          <w:color w:val="auto"/>
          <w:szCs w:val="28"/>
        </w:rPr>
        <w:tab/>
        <w:t xml:space="preserve">                 Д.В. </w:t>
      </w:r>
      <w:proofErr w:type="spellStart"/>
      <w:r>
        <w:rPr>
          <w:rFonts w:eastAsia="Calibri"/>
          <w:color w:val="auto"/>
          <w:szCs w:val="28"/>
        </w:rPr>
        <w:t>Пушилин</w:t>
      </w:r>
      <w:proofErr w:type="spellEnd"/>
    </w:p>
    <w:p w:rsidR="009C05FB" w:rsidRDefault="009F7C02">
      <w:pPr>
        <w:spacing w:after="200" w:line="276" w:lineRule="auto"/>
        <w:ind w:firstLine="0"/>
        <w:contextualSpacing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г. Донецк</w:t>
      </w:r>
    </w:p>
    <w:p w:rsidR="009C05FB" w:rsidRDefault="009F7C02">
      <w:pPr>
        <w:spacing w:after="200" w:line="276" w:lineRule="auto"/>
        <w:ind w:firstLine="0"/>
        <w:contextualSpacing/>
        <w:rPr>
          <w:rFonts w:eastAsia="Calibri"/>
          <w:color w:val="auto"/>
          <w:szCs w:val="28"/>
        </w:rPr>
      </w:pPr>
      <w:r>
        <w:rPr>
          <w:rFonts w:eastAsia="Calibri"/>
          <w:color w:val="auto"/>
          <w:szCs w:val="28"/>
        </w:rPr>
        <w:t>27 февраля 2026 года</w:t>
      </w:r>
    </w:p>
    <w:p w:rsidR="009C05FB" w:rsidRDefault="009F7C02">
      <w:pPr>
        <w:spacing w:line="276" w:lineRule="auto"/>
        <w:ind w:firstLine="0"/>
        <w:jc w:val="both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</w:rPr>
        <w:t>№ 255-РЗ</w:t>
      </w:r>
    </w:p>
    <w:p w:rsidR="009C05FB" w:rsidRDefault="009C05FB">
      <w:pPr>
        <w:spacing w:line="276" w:lineRule="auto"/>
        <w:ind w:firstLine="0"/>
      </w:pPr>
    </w:p>
    <w:p w:rsidR="009C05FB" w:rsidRDefault="009C05FB">
      <w:pPr>
        <w:spacing w:line="276" w:lineRule="auto"/>
        <w:ind w:firstLine="0"/>
      </w:pPr>
    </w:p>
    <w:p w:rsidR="009C05FB" w:rsidRDefault="009C05FB">
      <w:pPr>
        <w:spacing w:line="276" w:lineRule="auto"/>
        <w:ind w:firstLine="0"/>
      </w:pPr>
    </w:p>
    <w:p w:rsidR="009C05FB" w:rsidRDefault="009C05FB">
      <w:pPr>
        <w:spacing w:line="276" w:lineRule="auto"/>
        <w:ind w:firstLine="0"/>
      </w:pPr>
    </w:p>
    <w:p w:rsidR="009C05FB" w:rsidRDefault="009F7C02">
      <w:pPr>
        <w:spacing w:line="276" w:lineRule="auto"/>
        <w:ind w:left="5245" w:firstLine="0"/>
      </w:pPr>
      <w:r>
        <w:t>Приложение</w:t>
      </w:r>
    </w:p>
    <w:p w:rsidR="009C05FB" w:rsidRDefault="009F7C02">
      <w:pPr>
        <w:spacing w:line="276" w:lineRule="auto"/>
        <w:ind w:left="5245" w:firstLine="0"/>
      </w:pPr>
      <w:r>
        <w:t xml:space="preserve">к Закону Донецкой Народной </w:t>
      </w:r>
      <w:r>
        <w:br/>
        <w:t>Республики</w:t>
      </w:r>
      <w:r>
        <w:br/>
        <w:t xml:space="preserve">«Об утверждении прогнозного </w:t>
      </w:r>
      <w:r>
        <w:br/>
        <w:t xml:space="preserve">плана (программы) приватизации </w:t>
      </w:r>
      <w:r>
        <w:br/>
        <w:t xml:space="preserve">имущества, находящегося </w:t>
      </w:r>
      <w:r>
        <w:br/>
        <w:t xml:space="preserve">в собственности Донецкой </w:t>
      </w:r>
      <w:r>
        <w:br/>
        <w:t>Народной Республики, на 2026 год»</w:t>
      </w:r>
    </w:p>
    <w:p w:rsidR="009C05FB" w:rsidRDefault="008C2B2D">
      <w:pPr>
        <w:spacing w:line="276" w:lineRule="auto"/>
        <w:ind w:left="5245" w:firstLine="0"/>
        <w:rPr>
          <w:color w:val="auto"/>
        </w:rPr>
      </w:pPr>
      <w:hyperlink r:id="rId8">
        <w:r w:rsidR="009F7C02">
          <w:rPr>
            <w:rStyle w:val="a5"/>
            <w:i/>
            <w:iCs/>
            <w:color w:val="0563C1"/>
          </w:rPr>
          <w:t xml:space="preserve">(Приложение с изменениями, внесенными Законом </w:t>
        </w:r>
      </w:hyperlink>
      <w:r w:rsidR="009F7C02">
        <w:br/>
      </w:r>
      <w:hyperlink r:id="rId9">
        <w:r w:rsidR="009F7C02">
          <w:rPr>
            <w:rStyle w:val="a5"/>
            <w:i/>
            <w:iCs/>
            <w:color w:val="0563C1"/>
          </w:rPr>
          <w:t>от 02.09.2026 № 319-РЗ)</w:t>
        </w:r>
      </w:hyperlink>
    </w:p>
    <w:p w:rsidR="009C05FB" w:rsidRDefault="009C05FB">
      <w:pPr>
        <w:spacing w:line="276" w:lineRule="auto"/>
        <w:ind w:left="5670" w:firstLine="0"/>
      </w:pPr>
    </w:p>
    <w:p w:rsidR="009C05FB" w:rsidRDefault="009C05FB">
      <w:pPr>
        <w:spacing w:line="276" w:lineRule="auto"/>
        <w:ind w:left="5670" w:firstLine="0"/>
      </w:pP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 xml:space="preserve">Прогнозный план (программа) приватизации имущества, находящегося </w:t>
      </w:r>
      <w:r>
        <w:rPr>
          <w:rStyle w:val="18"/>
          <w:b/>
          <w:sz w:val="28"/>
        </w:rPr>
        <w:br/>
        <w:t xml:space="preserve">в собственности Донецкой Народной Республики, </w:t>
      </w:r>
      <w:r>
        <w:br/>
      </w:r>
      <w:r>
        <w:rPr>
          <w:rStyle w:val="18"/>
          <w:b/>
          <w:sz w:val="28"/>
        </w:rPr>
        <w:t>на 2026 год</w:t>
      </w:r>
    </w:p>
    <w:p w:rsidR="009C05FB" w:rsidRDefault="009C05FB">
      <w:pPr>
        <w:spacing w:line="276" w:lineRule="auto"/>
        <w:ind w:firstLine="0"/>
        <w:jc w:val="center"/>
        <w:rPr>
          <w:rStyle w:val="18"/>
          <w:b/>
          <w:sz w:val="28"/>
        </w:rPr>
      </w:pP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>Раздел I</w:t>
      </w: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>Основные направления и задачи приватизации имущества,</w:t>
      </w: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 xml:space="preserve"> находящегося в собственности Донецкой Народной Республики </w:t>
      </w:r>
    </w:p>
    <w:p w:rsidR="009C05FB" w:rsidRDefault="009C05FB">
      <w:pPr>
        <w:spacing w:line="276" w:lineRule="auto"/>
        <w:jc w:val="center"/>
      </w:pP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1. Прогнозный план (программа) приватизации имущества, </w:t>
      </w:r>
      <w:bookmarkStart w:id="3" w:name="_Hlk216274871"/>
      <w:r>
        <w:rPr>
          <w:rStyle w:val="18"/>
          <w:sz w:val="28"/>
        </w:rPr>
        <w:t>находящегося в собственности Донецкой Народной Республики</w:t>
      </w:r>
      <w:bookmarkEnd w:id="3"/>
      <w:r>
        <w:rPr>
          <w:rStyle w:val="18"/>
          <w:sz w:val="28"/>
        </w:rPr>
        <w:t xml:space="preserve">, на 2026 год разработан в соответствии с требованиями </w:t>
      </w:r>
      <w:hyperlink r:id="rId10" w:history="1">
        <w:r w:rsidRPr="00D77836">
          <w:rPr>
            <w:rStyle w:val="a5"/>
          </w:rPr>
          <w:t>Федерального закона от 21 декабря 2001 года № 178-ФЗ «О приватизации государственного и муниципального имущества»</w:t>
        </w:r>
      </w:hyperlink>
      <w:r>
        <w:rPr>
          <w:rStyle w:val="18"/>
          <w:sz w:val="28"/>
        </w:rPr>
        <w:t xml:space="preserve">, </w:t>
      </w:r>
      <w:hyperlink r:id="rId11" w:history="1">
        <w:r w:rsidRPr="00D77836">
          <w:rPr>
            <w:rStyle w:val="a5"/>
          </w:rPr>
          <w:t>Закона Донецкой Народной Республики от 13 октября 2023 года № 14-РЗ «О порядке управления и распоряжения собственностью Донецкой Народной Республики»</w:t>
        </w:r>
      </w:hyperlink>
      <w:r>
        <w:rPr>
          <w:rStyle w:val="18"/>
          <w:sz w:val="28"/>
        </w:rPr>
        <w:t xml:space="preserve">, </w:t>
      </w:r>
      <w:hyperlink r:id="rId12" w:history="1">
        <w:r w:rsidRPr="00485E42">
          <w:rPr>
            <w:rStyle w:val="a5"/>
          </w:rPr>
          <w:t>Закона Донецкой Народной Республики от 24 апреля 2025 года № 187-РЗ «О порядке и условиях приватизации имущества, находящегося в собственности Донецкой Народной Республики»</w:t>
        </w:r>
      </w:hyperlink>
      <w:r>
        <w:rPr>
          <w:rStyle w:val="18"/>
          <w:sz w:val="28"/>
        </w:rPr>
        <w:t xml:space="preserve">, а также в соответствии с Правилами разработки прогнозных планов (программ) приватизации государственного и муниципального имущества, утвержденными </w:t>
      </w:r>
      <w:hyperlink r:id="rId13" w:history="1">
        <w:r w:rsidRPr="009F7C02">
          <w:rPr>
            <w:rStyle w:val="a5"/>
          </w:rPr>
          <w:t>постановлением Правительства Российской Федерации от 26 декабря 2005 года № 806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</w:t>
        </w:r>
      </w:hyperlink>
      <w:r>
        <w:rPr>
          <w:rStyle w:val="18"/>
          <w:sz w:val="28"/>
        </w:rPr>
        <w:t xml:space="preserve">, и Порядком разработки (планирования) прогнозного </w:t>
      </w:r>
      <w:r>
        <w:rPr>
          <w:rStyle w:val="18"/>
          <w:sz w:val="28"/>
        </w:rPr>
        <w:lastRenderedPageBreak/>
        <w:t xml:space="preserve">плана (программы) приватизации имущества, находящегося в собственности Донецкой Народной Республики, утвержденным </w:t>
      </w:r>
      <w:hyperlink r:id="rId14" w:history="1">
        <w:r w:rsidRPr="009F7C02">
          <w:rPr>
            <w:rStyle w:val="a5"/>
          </w:rPr>
          <w:t>постановлением Правительства Донецкой Народной Республики от 24 июля 2025 года № 71-1 «Об утверждении Порядка разработки (планирования) прогнозного плана (программы) приватизации имущества, находящегося в собственности Донецкой Народной Республики»</w:t>
        </w:r>
      </w:hyperlink>
      <w:r>
        <w:rPr>
          <w:rStyle w:val="18"/>
          <w:sz w:val="28"/>
        </w:rPr>
        <w:t>. 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>2. Основными целями реализации прогнозного плана (программы) приватизации имущества, находящегося в собственности Донецкой Народной Республики, на 2026 год являются: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– повышение эффективности управления имуществом, находящимся в собственности Донецкой Народной Республики, и его доходности; 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– обеспечение поступления неналоговых доходов в бюджет Донецкой Народной Республики от приватизации имущества, находящегося в собственности Донецкой Народной Республики; </w:t>
      </w:r>
    </w:p>
    <w:p w:rsidR="009C05FB" w:rsidRDefault="009F7C02">
      <w:pPr>
        <w:spacing w:line="276" w:lineRule="auto"/>
        <w:ind w:firstLine="709"/>
        <w:contextualSpacing/>
        <w:jc w:val="both"/>
        <w:rPr>
          <w:rStyle w:val="18"/>
          <w:sz w:val="28"/>
        </w:rPr>
      </w:pPr>
      <w:r>
        <w:rPr>
          <w:rStyle w:val="18"/>
          <w:sz w:val="28"/>
        </w:rPr>
        <w:t>– сокращение расходов из бюджета Донецкой Народной Республики на содержание имущества, находящегося в собственности Донецкой Народной Республики;</w:t>
      </w:r>
    </w:p>
    <w:p w:rsidR="009C05FB" w:rsidRDefault="009F7C02">
      <w:pPr>
        <w:spacing w:line="276" w:lineRule="auto"/>
        <w:ind w:firstLine="709"/>
        <w:contextualSpacing/>
        <w:jc w:val="both"/>
        <w:rPr>
          <w:rStyle w:val="18"/>
          <w:sz w:val="28"/>
        </w:rPr>
      </w:pPr>
      <w:r>
        <w:rPr>
          <w:rStyle w:val="18"/>
          <w:sz w:val="28"/>
        </w:rPr>
        <w:t>–</w:t>
      </w:r>
      <w:r>
        <w:t> </w:t>
      </w:r>
      <w:r>
        <w:rPr>
          <w:rStyle w:val="18"/>
          <w:sz w:val="28"/>
        </w:rPr>
        <w:t>формирование негосударственного сектора экономики;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>– привлечение в производство инвестиций.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3. Задачами государственной политики Донецкой Народной Республики в сфере приватизации имущества, находящегося в собственности Донецкой Народной Республики, в 2026 году являются: 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>– исполнение федерального законодательства и законодательства</w:t>
      </w:r>
      <w:r w:rsidR="00886D35" w:rsidRPr="00886D35">
        <w:rPr>
          <w:rStyle w:val="18"/>
          <w:sz w:val="28"/>
        </w:rPr>
        <w:t xml:space="preserve"> </w:t>
      </w:r>
      <w:r>
        <w:rPr>
          <w:rStyle w:val="18"/>
          <w:sz w:val="28"/>
        </w:rPr>
        <w:t>Донецкой Народной Республики в сфере приватизации имущества, находящегося в собственности Донецкой Народной Республики;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>– создание благоприятных условий для развития малого и среднего бизнеса;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>– оптимизация состава и структуры имущества, находящегося в собственности Донецкой Народной Республики;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– привлечение инвестиций в экономику Донецкой Народной Республики; 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>– преобразование государственных унитарных предприятий Донецкой Народной Республики в акционерные общества и общества с ограниченной ответственностью в целях повышения их инвестиционной привлекательности;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– приватизация имущества, находящегося в собственности Донецкой Народной Республики, которое не обеспечивает выполнение государственных функций и полномочий Донецкой Народной Республики как субъекта Российской Федерации. 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lastRenderedPageBreak/>
        <w:t>4. Прогнозный план (программа) приватизации имущества, находящегося в собственности Донецкой Народной Республики, на 2026 год не несет отрицательного влияния на экономику Донецкой Народной Республики.</w:t>
      </w:r>
    </w:p>
    <w:p w:rsidR="009C05FB" w:rsidRDefault="009F7C02">
      <w:pPr>
        <w:spacing w:line="276" w:lineRule="auto"/>
        <w:ind w:firstLine="709"/>
        <w:jc w:val="both"/>
      </w:pPr>
      <w:r>
        <w:rPr>
          <w:rStyle w:val="18"/>
          <w:sz w:val="28"/>
        </w:rPr>
        <w:t>5. Прогноз поступлений в бюджет Донецкой Народной Республики доходов от продажи имущества, находящегося в собственности Донецкой Народной Республики, в 2026 году будет сформирован после определения его рыночной стоимости в соответствии с федеральным законодательством.</w:t>
      </w:r>
    </w:p>
    <w:p w:rsidR="009C05FB" w:rsidRDefault="009F7C02">
      <w:pPr>
        <w:spacing w:line="276" w:lineRule="auto"/>
        <w:ind w:firstLine="709"/>
        <w:jc w:val="both"/>
      </w:pPr>
      <w:r>
        <w:rPr>
          <w:rStyle w:val="18"/>
          <w:sz w:val="28"/>
        </w:rPr>
        <w:t>6. Прогнозный план (программа) приватизации имущества, находящегося в собственности Донецкой Народной Республики, на 2026 год составлен с учетом предложений исполнительных органов Донецкой Народной Республики.</w:t>
      </w:r>
    </w:p>
    <w:p w:rsidR="009C05FB" w:rsidRDefault="009C05FB">
      <w:pPr>
        <w:spacing w:line="276" w:lineRule="auto"/>
        <w:ind w:firstLine="0"/>
        <w:jc w:val="center"/>
        <w:rPr>
          <w:rStyle w:val="18"/>
          <w:b/>
          <w:sz w:val="28"/>
        </w:rPr>
      </w:pP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>Раздел II</w:t>
      </w: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 xml:space="preserve">Перечень государственных унитарных предприятий </w:t>
      </w: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 xml:space="preserve">Донецкой Народной Республики, </w:t>
      </w:r>
    </w:p>
    <w:p w:rsidR="009C05FB" w:rsidRDefault="009F7C02">
      <w:pPr>
        <w:spacing w:line="276" w:lineRule="auto"/>
        <w:ind w:firstLine="0"/>
        <w:jc w:val="center"/>
        <w:rPr>
          <w:b/>
        </w:rPr>
      </w:pPr>
      <w:r>
        <w:rPr>
          <w:rStyle w:val="18"/>
          <w:b/>
          <w:sz w:val="28"/>
        </w:rPr>
        <w:t>планируемых к приватизации в 2026 году</w:t>
      </w:r>
    </w:p>
    <w:p w:rsidR="009C05FB" w:rsidRDefault="009C05FB">
      <w:pPr>
        <w:spacing w:line="276" w:lineRule="auto"/>
        <w:ind w:firstLine="0"/>
        <w:jc w:val="center"/>
        <w:rPr>
          <w:b/>
        </w:rPr>
      </w:pPr>
    </w:p>
    <w:tbl>
      <w:tblPr>
        <w:tblW w:w="949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81"/>
        <w:gridCol w:w="4517"/>
        <w:gridCol w:w="4394"/>
      </w:tblGrid>
      <w:tr w:rsidR="009C05FB">
        <w:trPr>
          <w:trHeight w:val="102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right="-54"/>
              <w:jc w:val="center"/>
            </w:pPr>
            <w:r>
              <w:rPr>
                <w:rStyle w:val="18"/>
                <w:sz w:val="28"/>
              </w:rPr>
              <w:t>№№ п/п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hanging="15"/>
              <w:jc w:val="center"/>
            </w:pPr>
            <w:r>
              <w:rPr>
                <w:rStyle w:val="18"/>
                <w:sz w:val="28"/>
              </w:rPr>
              <w:t>Наименование государственного унитарного предприятия Донецкой Народной Республики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  <w:jc w:val="center"/>
            </w:pPr>
            <w:r>
              <w:rPr>
                <w:rStyle w:val="18"/>
                <w:sz w:val="28"/>
              </w:rPr>
              <w:t>Адрес</w:t>
            </w:r>
          </w:p>
          <w:p w:rsidR="009C05FB" w:rsidRDefault="009F7C02">
            <w:pPr>
              <w:spacing w:line="276" w:lineRule="auto"/>
              <w:ind w:firstLine="3"/>
              <w:jc w:val="center"/>
            </w:pPr>
            <w:r>
              <w:rPr>
                <w:rStyle w:val="18"/>
                <w:sz w:val="28"/>
              </w:rPr>
              <w:t>юридического лица</w:t>
            </w:r>
          </w:p>
        </w:tc>
      </w:tr>
      <w:tr w:rsidR="009C05FB">
        <w:trPr>
          <w:trHeight w:val="1270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5FB" w:rsidRDefault="009C05FB">
            <w:pPr>
              <w:spacing w:line="276" w:lineRule="auto"/>
              <w:ind w:left="-697"/>
              <w:jc w:val="center"/>
            </w:pPr>
          </w:p>
          <w:p w:rsidR="009C05FB" w:rsidRDefault="009C05FB">
            <w:pPr>
              <w:spacing w:line="276" w:lineRule="auto"/>
              <w:ind w:left="-697"/>
              <w:rPr>
                <w:rStyle w:val="18"/>
                <w:sz w:val="28"/>
              </w:rPr>
            </w:pPr>
          </w:p>
          <w:p w:rsidR="009C05FB" w:rsidRDefault="009F7C02">
            <w:pPr>
              <w:spacing w:line="276" w:lineRule="auto"/>
              <w:ind w:left="-697"/>
            </w:pPr>
            <w:r>
              <w:rPr>
                <w:rStyle w:val="18"/>
                <w:sz w:val="28"/>
              </w:rPr>
              <w:t>1.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  <w:rPr>
                <w:rStyle w:val="18"/>
                <w:sz w:val="28"/>
              </w:rPr>
            </w:pPr>
            <w:r>
              <w:rPr>
                <w:rStyle w:val="18"/>
                <w:sz w:val="28"/>
              </w:rPr>
              <w:t>ГОСУДАРСТВЕННОЕ УНИТАРНОЕ ПРЕДПРИЯТИЕ ДОНЕЦКОЙ НАРОДНОЙ</w:t>
            </w:r>
          </w:p>
          <w:p w:rsidR="009C05FB" w:rsidRDefault="009F7C02">
            <w:pPr>
              <w:spacing w:line="276" w:lineRule="auto"/>
              <w:ind w:firstLine="0"/>
            </w:pPr>
            <w:r>
              <w:rPr>
                <w:rStyle w:val="18"/>
                <w:sz w:val="28"/>
              </w:rPr>
              <w:t>РЕСПУБЛИКИ «РЕСПУБЛИКАНСКИЙ МЕДИА ХОЛДИНГ»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  <w:jc w:val="both"/>
            </w:pPr>
            <w:r>
              <w:rPr>
                <w:rStyle w:val="18"/>
                <w:sz w:val="28"/>
              </w:rPr>
              <w:t xml:space="preserve">Российская Федерация, Донецкая Народная Республика, городской округ Донецк, город Донецк, </w:t>
            </w:r>
          </w:p>
          <w:p w:rsidR="009C05FB" w:rsidRDefault="009F7C02">
            <w:pPr>
              <w:spacing w:line="276" w:lineRule="auto"/>
              <w:ind w:firstLine="0"/>
            </w:pPr>
            <w:r>
              <w:rPr>
                <w:rStyle w:val="18"/>
                <w:sz w:val="28"/>
              </w:rPr>
              <w:t>площадь Советская, дом 1</w:t>
            </w:r>
          </w:p>
        </w:tc>
      </w:tr>
      <w:tr w:rsidR="009C05FB">
        <w:trPr>
          <w:trHeight w:val="1198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5FB" w:rsidRDefault="009C05FB">
            <w:pPr>
              <w:spacing w:line="276" w:lineRule="auto"/>
              <w:ind w:left="-697"/>
              <w:jc w:val="center"/>
            </w:pPr>
          </w:p>
          <w:p w:rsidR="009C05FB" w:rsidRDefault="009C05FB">
            <w:pPr>
              <w:spacing w:line="276" w:lineRule="auto"/>
              <w:ind w:left="-697"/>
              <w:rPr>
                <w:rStyle w:val="18"/>
                <w:sz w:val="28"/>
              </w:rPr>
            </w:pPr>
          </w:p>
          <w:p w:rsidR="009C05FB" w:rsidRDefault="009F7C02">
            <w:pPr>
              <w:spacing w:line="276" w:lineRule="auto"/>
              <w:ind w:left="-697"/>
            </w:pPr>
            <w:r>
              <w:rPr>
                <w:rStyle w:val="18"/>
                <w:sz w:val="28"/>
              </w:rPr>
              <w:t>2.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</w:pPr>
            <w:r>
              <w:rPr>
                <w:rStyle w:val="18"/>
                <w:sz w:val="28"/>
              </w:rPr>
              <w:t>ГОСУДАРСТВЕННОЕ УНИТАРНОЕ ПРЕДПРИЯТИЕ ДОНЕЦКОЙ НАРОДНОЙ РЕСПУБЛИКИ «АГЕНТСТВО ПО РЕКЛАМЕ И МАССОВЫМ КОММУНИКАЦИЯМ «ПРОДВИЖЕНИЕ»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  <w:jc w:val="both"/>
            </w:pPr>
            <w:r>
              <w:rPr>
                <w:rStyle w:val="18"/>
                <w:sz w:val="28"/>
              </w:rPr>
              <w:t xml:space="preserve">Российская Федерация, Донецкая Народная Республика, городской округ Донецк, город Донецк, </w:t>
            </w:r>
          </w:p>
          <w:p w:rsidR="009C05FB" w:rsidRDefault="009F7C02">
            <w:pPr>
              <w:spacing w:line="276" w:lineRule="auto"/>
              <w:ind w:firstLine="0"/>
            </w:pPr>
            <w:r>
              <w:rPr>
                <w:rStyle w:val="18"/>
                <w:sz w:val="28"/>
              </w:rPr>
              <w:t>площадь Советская, дом 1</w:t>
            </w:r>
          </w:p>
        </w:tc>
      </w:tr>
      <w:tr w:rsidR="009C05FB">
        <w:trPr>
          <w:trHeight w:val="127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5FB" w:rsidRDefault="009C05FB">
            <w:pPr>
              <w:spacing w:line="276" w:lineRule="auto"/>
              <w:ind w:left="-697"/>
              <w:jc w:val="center"/>
            </w:pPr>
          </w:p>
          <w:p w:rsidR="009C05FB" w:rsidRDefault="009C05FB">
            <w:pPr>
              <w:spacing w:line="276" w:lineRule="auto"/>
              <w:ind w:left="-697"/>
              <w:rPr>
                <w:rStyle w:val="18"/>
                <w:sz w:val="28"/>
              </w:rPr>
            </w:pPr>
          </w:p>
          <w:p w:rsidR="009C05FB" w:rsidRDefault="009F7C02">
            <w:pPr>
              <w:spacing w:line="276" w:lineRule="auto"/>
              <w:ind w:left="-697"/>
            </w:pPr>
            <w:r>
              <w:rPr>
                <w:rStyle w:val="18"/>
                <w:sz w:val="28"/>
              </w:rPr>
              <w:t>3.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  <w:rPr>
                <w:rStyle w:val="18"/>
                <w:sz w:val="28"/>
              </w:rPr>
            </w:pPr>
            <w:r>
              <w:rPr>
                <w:rStyle w:val="18"/>
                <w:sz w:val="28"/>
              </w:rPr>
              <w:t>ГОСУДАРСТВЕННОЕ УНИТАРНОЕ ПРЕДПРИЯТИЕ</w:t>
            </w:r>
          </w:p>
          <w:p w:rsidR="009C05FB" w:rsidRDefault="009F7C02">
            <w:pPr>
              <w:spacing w:line="276" w:lineRule="auto"/>
              <w:ind w:firstLine="0"/>
              <w:rPr>
                <w:rStyle w:val="18"/>
                <w:sz w:val="28"/>
              </w:rPr>
            </w:pPr>
            <w:r>
              <w:rPr>
                <w:rStyle w:val="18"/>
                <w:sz w:val="28"/>
              </w:rPr>
              <w:t>ДОНЕЦКОЙ НАРОДНОЙ</w:t>
            </w:r>
          </w:p>
          <w:p w:rsidR="009C05FB" w:rsidRDefault="009F7C02">
            <w:pPr>
              <w:spacing w:line="276" w:lineRule="auto"/>
              <w:ind w:firstLine="0"/>
            </w:pPr>
            <w:r>
              <w:rPr>
                <w:rStyle w:val="18"/>
                <w:sz w:val="28"/>
              </w:rPr>
              <w:t>РЕСПУБЛИКИ «АГРАРНЫЙ ДОНБАСС»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5FB" w:rsidRDefault="009F7C02">
            <w:pPr>
              <w:spacing w:line="276" w:lineRule="auto"/>
              <w:ind w:firstLine="0"/>
              <w:jc w:val="both"/>
            </w:pPr>
            <w:r>
              <w:rPr>
                <w:rStyle w:val="18"/>
                <w:sz w:val="28"/>
              </w:rPr>
              <w:t xml:space="preserve">Российская Федерация, Донецкая Народная Республика, городской округ Донецк, город Донецк, </w:t>
            </w:r>
          </w:p>
          <w:p w:rsidR="009C05FB" w:rsidRDefault="009F7C02">
            <w:pPr>
              <w:spacing w:line="276" w:lineRule="auto"/>
              <w:ind w:firstLine="0"/>
            </w:pPr>
            <w:r>
              <w:rPr>
                <w:rStyle w:val="18"/>
                <w:sz w:val="28"/>
              </w:rPr>
              <w:t>бульвар Пушкина, дом 34</w:t>
            </w:r>
          </w:p>
        </w:tc>
      </w:tr>
    </w:tbl>
    <w:p w:rsidR="009C05FB" w:rsidRDefault="009C05FB">
      <w:pPr>
        <w:spacing w:line="276" w:lineRule="auto"/>
        <w:jc w:val="both"/>
      </w:pPr>
    </w:p>
    <w:p w:rsidR="009C05FB" w:rsidRDefault="009C05FB">
      <w:pPr>
        <w:spacing w:line="276" w:lineRule="auto"/>
        <w:jc w:val="both"/>
      </w:pPr>
    </w:p>
    <w:p w:rsidR="009C05FB" w:rsidRDefault="009F7C02">
      <w:pPr>
        <w:spacing w:after="360" w:line="276" w:lineRule="auto"/>
        <w:jc w:val="center"/>
      </w:pPr>
      <w:r>
        <w:lastRenderedPageBreak/>
        <w:t>«</w:t>
      </w:r>
      <w:r>
        <w:rPr>
          <w:b/>
        </w:rPr>
        <w:t xml:space="preserve">Раздел </w:t>
      </w:r>
      <w:r>
        <w:rPr>
          <w:b/>
          <w:lang w:val="en-US"/>
        </w:rPr>
        <w:t>III</w:t>
      </w:r>
    </w:p>
    <w:p w:rsidR="009C05FB" w:rsidRDefault="009F7C02">
      <w:pPr>
        <w:spacing w:line="276" w:lineRule="auto"/>
        <w:jc w:val="center"/>
      </w:pPr>
      <w:r>
        <w:rPr>
          <w:b/>
          <w:bCs/>
          <w:color w:val="auto"/>
          <w:szCs w:val="28"/>
        </w:rPr>
        <w:t xml:space="preserve">Перечень иного имущества Донецкой Народной Республики, </w:t>
      </w:r>
      <w:r>
        <w:rPr>
          <w:b/>
          <w:bCs/>
          <w:color w:val="auto"/>
          <w:szCs w:val="28"/>
        </w:rPr>
        <w:br/>
        <w:t>составляющего казну</w:t>
      </w:r>
      <w:r>
        <w:rPr>
          <w:color w:val="auto"/>
          <w:szCs w:val="28"/>
        </w:rPr>
        <w:t xml:space="preserve"> </w:t>
      </w:r>
      <w:r>
        <w:rPr>
          <w:b/>
          <w:bCs/>
          <w:color w:val="auto"/>
          <w:szCs w:val="28"/>
        </w:rPr>
        <w:t xml:space="preserve">Донецкой Народной Республики, планируемого </w:t>
      </w:r>
      <w:r>
        <w:rPr>
          <w:b/>
          <w:bCs/>
          <w:color w:val="auto"/>
          <w:szCs w:val="28"/>
        </w:rPr>
        <w:br/>
        <w:t>к приватизации</w:t>
      </w:r>
      <w:r>
        <w:rPr>
          <w:color w:val="auto"/>
          <w:szCs w:val="28"/>
        </w:rPr>
        <w:t xml:space="preserve"> </w:t>
      </w:r>
      <w:r>
        <w:rPr>
          <w:b/>
          <w:bCs/>
          <w:color w:val="auto"/>
          <w:szCs w:val="28"/>
        </w:rPr>
        <w:t>в 2026 году</w:t>
      </w:r>
      <w:r>
        <w:rPr>
          <w:color w:val="auto"/>
          <w:szCs w:val="28"/>
        </w:rPr>
        <w:t xml:space="preserve"> </w:t>
      </w:r>
    </w:p>
    <w:p w:rsidR="009C05FB" w:rsidRDefault="009F7C02">
      <w:pPr>
        <w:spacing w:line="276" w:lineRule="auto"/>
        <w:jc w:val="center"/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</w:p>
    <w:p w:rsidR="009C05FB" w:rsidRDefault="009F7C02">
      <w:pPr>
        <w:spacing w:line="276" w:lineRule="auto"/>
        <w:jc w:val="both"/>
      </w:pPr>
      <w:r>
        <w:rPr>
          <w:b/>
          <w:color w:val="auto"/>
        </w:rPr>
        <w:t>Перечень</w:t>
      </w:r>
      <w:r>
        <w:rPr>
          <w:b/>
        </w:rPr>
        <w:t xml:space="preserve"> недвижимого имущества, планируемого к приватизации</w:t>
      </w:r>
    </w:p>
    <w:p w:rsidR="009C05FB" w:rsidRDefault="009C05FB">
      <w:pPr>
        <w:spacing w:line="276" w:lineRule="auto"/>
        <w:jc w:val="both"/>
        <w:rPr>
          <w:b/>
        </w:rPr>
      </w:pPr>
    </w:p>
    <w:tbl>
      <w:tblPr>
        <w:tblW w:w="9495" w:type="dxa"/>
        <w:tblInd w:w="108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99"/>
        <w:gridCol w:w="3651"/>
        <w:gridCol w:w="2831"/>
        <w:gridCol w:w="2414"/>
      </w:tblGrid>
      <w:tr w:rsidR="009C05FB"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rFonts w:ascii="Times New Roman;serif" w:hAnsi="Times New Roman;serif"/>
                <w:sz w:val="20"/>
              </w:rPr>
              <w:t>п/п</w:t>
            </w:r>
          </w:p>
        </w:tc>
        <w:tc>
          <w:tcPr>
            <w:tcW w:w="3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Наименование</w:t>
            </w:r>
          </w:p>
        </w:tc>
        <w:tc>
          <w:tcPr>
            <w:tcW w:w="2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Местонахождение имущества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Кадастровый номер</w:t>
            </w:r>
          </w:p>
        </w:tc>
      </w:tr>
      <w:tr w:rsidR="009C05FB"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1.</w:t>
            </w:r>
          </w:p>
        </w:tc>
        <w:tc>
          <w:tcPr>
            <w:tcW w:w="3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both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Нежилое здание отеля лит. А-6 общей площадью 13059,9 кв. м</w:t>
            </w:r>
          </w:p>
        </w:tc>
        <w:tc>
          <w:tcPr>
            <w:tcW w:w="2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both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93:27:0010209:367</w:t>
            </w:r>
          </w:p>
        </w:tc>
      </w:tr>
      <w:tr w:rsidR="009C05FB"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2.</w:t>
            </w:r>
          </w:p>
        </w:tc>
        <w:tc>
          <w:tcPr>
            <w:tcW w:w="3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both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Нежилое здание общей площадью 73,0 кв. м</w:t>
            </w:r>
          </w:p>
        </w:tc>
        <w:tc>
          <w:tcPr>
            <w:tcW w:w="2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both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rFonts w:ascii="Times New Roman;serif" w:hAnsi="Times New Roman;serif"/>
                <w:sz w:val="20"/>
              </w:rPr>
            </w:pPr>
            <w:r>
              <w:rPr>
                <w:rFonts w:ascii="Times New Roman;serif" w:hAnsi="Times New Roman;serif"/>
                <w:sz w:val="20"/>
              </w:rPr>
              <w:t>93:27:0010209:1197</w:t>
            </w:r>
          </w:p>
        </w:tc>
      </w:tr>
    </w:tbl>
    <w:p w:rsidR="009C05FB" w:rsidRDefault="009C05FB">
      <w:pPr>
        <w:spacing w:after="360" w:line="276" w:lineRule="auto"/>
        <w:jc w:val="center"/>
      </w:pPr>
    </w:p>
    <w:p w:rsidR="009C05FB" w:rsidRDefault="009F7C02">
      <w:pPr>
        <w:spacing w:line="276" w:lineRule="auto"/>
        <w:jc w:val="both"/>
        <w:rPr>
          <w:b/>
        </w:rPr>
      </w:pPr>
      <w:r>
        <w:rPr>
          <w:b/>
          <w:color w:val="auto"/>
        </w:rPr>
        <w:t>Перечень</w:t>
      </w:r>
      <w:r>
        <w:rPr>
          <w:b/>
        </w:rPr>
        <w:t xml:space="preserve"> движимого имущества, планируемого к приватизации</w:t>
      </w:r>
    </w:p>
    <w:p w:rsidR="009C05FB" w:rsidRDefault="009C05FB">
      <w:pPr>
        <w:spacing w:line="276" w:lineRule="auto"/>
        <w:jc w:val="both"/>
        <w:rPr>
          <w:b/>
        </w:rPr>
      </w:pPr>
    </w:p>
    <w:tbl>
      <w:tblPr>
        <w:tblW w:w="9900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51"/>
        <w:gridCol w:w="3362"/>
        <w:gridCol w:w="1572"/>
        <w:gridCol w:w="2396"/>
        <w:gridCol w:w="1919"/>
      </w:tblGrid>
      <w:tr w:rsidR="009C05FB">
        <w:trPr>
          <w:trHeight w:val="1364"/>
        </w:trPr>
        <w:tc>
          <w:tcPr>
            <w:tcW w:w="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9C05FB" w:rsidRDefault="009F7C02">
            <w:pPr>
              <w:pStyle w:val="affd"/>
              <w:widowControl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3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7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239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Местонахождение имущества</w:t>
            </w:r>
          </w:p>
        </w:tc>
        <w:tc>
          <w:tcPr>
            <w:tcW w:w="191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Кадастровый номер (инвентарный номер)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Ваза в виде чаши SOHER 34*34*20 см (503-й номер, 03.2012)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Велотренажер </w:t>
            </w:r>
            <w:proofErr w:type="spellStart"/>
            <w:r>
              <w:rPr>
                <w:sz w:val="24"/>
                <w:szCs w:val="24"/>
              </w:rPr>
              <w:t>bike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excite</w:t>
            </w:r>
            <w:proofErr w:type="spellEnd"/>
            <w:r>
              <w:rPr>
                <w:sz w:val="24"/>
                <w:szCs w:val="24"/>
              </w:rPr>
              <w:t xml:space="preserve"> 500 № 2 (тренажерный зал СПА, 04.2013)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000002958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 со стеклянной поверхностью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 со стеклянными полками (магазины)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 со стеклянными полками (магазины)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 со стеклянными полками (магазины) SA017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 со стеклянными полками (магазины) SA017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Витрина-шкаф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Витрина-шкаф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Витрина-шкаф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Витрина-шкаф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Водонагреватель 1 ВТН-2000-3 + </w:t>
            </w:r>
            <w:proofErr w:type="spellStart"/>
            <w:r>
              <w:rPr>
                <w:sz w:val="24"/>
                <w:szCs w:val="24"/>
              </w:rPr>
              <w:t>ТЕНб</w:t>
            </w:r>
            <w:proofErr w:type="spellEnd"/>
            <w:r>
              <w:rPr>
                <w:sz w:val="24"/>
                <w:szCs w:val="24"/>
              </w:rPr>
              <w:t xml:space="preserve"> 200 Г10/6х4 П 380 (08.2014)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Водонагреватель 1 ВТН-2000-3 + </w:t>
            </w:r>
            <w:proofErr w:type="spellStart"/>
            <w:r>
              <w:rPr>
                <w:sz w:val="24"/>
                <w:szCs w:val="24"/>
              </w:rPr>
              <w:t>ТЕНб</w:t>
            </w:r>
            <w:proofErr w:type="spellEnd"/>
            <w:r>
              <w:rPr>
                <w:sz w:val="24"/>
                <w:szCs w:val="24"/>
              </w:rPr>
              <w:t xml:space="preserve"> 200 Г10/6х4 П 380 (08.2014)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Граб № 1 (Отель «Донбасс Палас»)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Граб № 2 (Отель «Донбасс Палас»)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Граб № 3 (Отель «Донбасс Палас»)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Граб № 4 (Отель «Донбасс Палас»)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20612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Гриль электрический на открытой базе </w:t>
            </w:r>
            <w:proofErr w:type="spellStart"/>
            <w:r>
              <w:rPr>
                <w:sz w:val="24"/>
                <w:szCs w:val="24"/>
              </w:rPr>
              <w:t>Electrolux</w:t>
            </w:r>
            <w:proofErr w:type="spellEnd"/>
            <w:r>
              <w:rPr>
                <w:sz w:val="24"/>
                <w:szCs w:val="24"/>
              </w:rPr>
              <w:t xml:space="preserve"> (03.2012 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Grill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000003920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000004582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000005282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18753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двухместный 1600х800мм, основа из бук. дер.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большой,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двухместный, основа из бук. дер. арт. А662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двухместный, основа из бук. дер. арт. А663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угловой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(</w:t>
            </w:r>
            <w:proofErr w:type="spellStart"/>
            <w:r>
              <w:rPr>
                <w:sz w:val="24"/>
                <w:szCs w:val="24"/>
              </w:rPr>
              <w:t>Оранж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(</w:t>
            </w:r>
            <w:proofErr w:type="spellStart"/>
            <w:r>
              <w:rPr>
                <w:sz w:val="24"/>
                <w:szCs w:val="24"/>
              </w:rPr>
              <w:t>Оранж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Диван (</w:t>
            </w:r>
            <w:proofErr w:type="spellStart"/>
            <w:r>
              <w:rPr>
                <w:sz w:val="24"/>
                <w:szCs w:val="24"/>
              </w:rPr>
              <w:t>Оранж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Дорожка беговая jog700 (тренажерный зал СПА 04.2013)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Дорожка беговая jog700 (тренажерный зал СПА 04.2013)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Елка 3м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 металлический № 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 металлический № 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 металлический № 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 металлический № 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 металлический № 5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 металлический № 6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Забор, сетка металлическая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20427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FR028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настенное в деревянной раме, арт. 1534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настенное в деревянной раме, арт. 1534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«Наполеон» (Италия)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в полный рост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000002664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в полный рост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в полный рост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в полный рост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в полный рост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 Рецепции FR028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09683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настенное в деревянной раме, арт. 1170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настенное в деревянной раме, арт.1171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настенное в деревянной раме, арт. 14211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Зеркало настенное в стеклянной раме, арт. 617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Канделябры парные (Франция, 19 век)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Канделябры парные 2 (Франция, 19 век)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Кардиотренажер</w:t>
            </w:r>
            <w:proofErr w:type="spellEnd"/>
            <w:r>
              <w:rPr>
                <w:sz w:val="24"/>
                <w:szCs w:val="24"/>
              </w:rPr>
              <w:t xml:space="preserve"> vario500 (тренажерный зал СПА 04.2013)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«Виды Неаполя» (картины парные)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000005276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«Горный пейзаж с водопадом и путниками» (Швейцария)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«Европейский пейзаж»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«Итальянский пейзаж с фигурами»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«Море у скалистого берега»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«Пейзаж с парусником»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Картина «Цветочный натюрморт в пейзаже» (Западная Европа)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000002370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Картина </w:t>
            </w:r>
            <w:proofErr w:type="spellStart"/>
            <w:r>
              <w:rPr>
                <w:sz w:val="24"/>
                <w:szCs w:val="24"/>
              </w:rPr>
              <w:t>DonbassPalace</w:t>
            </w:r>
            <w:proofErr w:type="spellEnd"/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Кинотеатр ПН Кресло </w:t>
            </w:r>
            <w:proofErr w:type="spellStart"/>
            <w:r>
              <w:rPr>
                <w:sz w:val="24"/>
                <w:szCs w:val="24"/>
              </w:rPr>
              <w:t>Firenza</w:t>
            </w:r>
            <w:proofErr w:type="spellEnd"/>
            <w:r>
              <w:rPr>
                <w:sz w:val="24"/>
                <w:szCs w:val="24"/>
              </w:rPr>
              <w:t xml:space="preserve"> (без подлокотников)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Колода деревянная для разрубки мяса из белого дерева 500х500х200 мм (Мясной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Колонка </w:t>
            </w:r>
            <w:proofErr w:type="spellStart"/>
            <w:r>
              <w:rPr>
                <w:sz w:val="24"/>
                <w:szCs w:val="24"/>
              </w:rPr>
              <w:t>Dynacord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Cobra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Top</w:t>
            </w:r>
            <w:proofErr w:type="spellEnd"/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Консоль с мраморной столешницей 130х52х65 см SPA029 (Комната отдыха)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Консоль-стол-подставка. деревянная 1,96х0,5х0,88 </w:t>
            </w:r>
            <w:r>
              <w:rPr>
                <w:sz w:val="24"/>
                <w:szCs w:val="24"/>
              </w:rPr>
              <w:br/>
              <w:t>с мраморной столешницей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Консоль-стол-подставка коричневая с мраморной столешницей (200х90х52 см) </w:t>
            </w:r>
            <w:r>
              <w:rPr>
                <w:sz w:val="24"/>
                <w:szCs w:val="24"/>
              </w:rPr>
              <w:lastRenderedPageBreak/>
              <w:t>CAS028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000002580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Консоль-стол-подставка коричневая с мраморной столешницей (200х90х52 см) CAS028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Креденция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дровер</w:t>
            </w:r>
            <w:proofErr w:type="spellEnd"/>
            <w:r>
              <w:rPr>
                <w:sz w:val="24"/>
                <w:szCs w:val="24"/>
              </w:rPr>
              <w:t xml:space="preserve"> барный)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000003511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000003901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000005319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000005450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000005487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000005525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000005615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17678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17684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17827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23827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700х600х1130Вмм, арт. А973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700х600х1130Вмм, арт.А973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бежевое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гостиная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кабинетное, велюр с подлокотниками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кабинетное (кресло-стул с подушками)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 на колесах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Кресло-стул с подушками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Pr="00DC1573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Кровать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арт</w:t>
            </w:r>
            <w:r>
              <w:rPr>
                <w:sz w:val="24"/>
                <w:szCs w:val="24"/>
                <w:lang w:val="en-US"/>
              </w:rPr>
              <w:t>. Serta Cheshire Pillow Top, 200</w:t>
            </w:r>
            <w:r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  <w:lang w:val="en-US"/>
              </w:rPr>
              <w:t xml:space="preserve">200 </w:t>
            </w:r>
            <w:r>
              <w:rPr>
                <w:sz w:val="24"/>
                <w:szCs w:val="24"/>
              </w:rPr>
              <w:t>см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000002764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столик деревянный коричневый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столик деревянный коричневый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столик деревянный коричневый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000003521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000004548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000004562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000005002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17422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для багажа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Лавка прикроватная, 1400х500х650Вмм, арт. А543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Льдогенератор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Brema</w:t>
            </w:r>
            <w:proofErr w:type="spellEnd"/>
            <w:r>
              <w:rPr>
                <w:sz w:val="24"/>
                <w:szCs w:val="24"/>
              </w:rPr>
              <w:t xml:space="preserve"> CB 246A HC (кубик)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00-035332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М836А Тренажер для развития мышц передней поверхности бедра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М853N Машина Смита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 поломоечная однодисковая BDS 43/150C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Машина стиральная (с </w:t>
            </w:r>
            <w:proofErr w:type="spellStart"/>
            <w:r>
              <w:rPr>
                <w:sz w:val="24"/>
                <w:szCs w:val="24"/>
              </w:rPr>
              <w:t>усил</w:t>
            </w:r>
            <w:proofErr w:type="spellEnd"/>
            <w:r>
              <w:rPr>
                <w:sz w:val="24"/>
                <w:szCs w:val="24"/>
              </w:rPr>
              <w:t xml:space="preserve">. отжимом, </w:t>
            </w:r>
            <w:proofErr w:type="spellStart"/>
            <w:r>
              <w:rPr>
                <w:sz w:val="24"/>
                <w:szCs w:val="24"/>
              </w:rPr>
              <w:t>прогр</w:t>
            </w:r>
            <w:proofErr w:type="spellEnd"/>
            <w:r>
              <w:rPr>
                <w:sz w:val="24"/>
                <w:szCs w:val="24"/>
              </w:rPr>
              <w:t xml:space="preserve">. управ., с </w:t>
            </w:r>
            <w:proofErr w:type="spellStart"/>
            <w:r>
              <w:rPr>
                <w:sz w:val="24"/>
                <w:szCs w:val="24"/>
              </w:rPr>
              <w:t>загр</w:t>
            </w:r>
            <w:proofErr w:type="spellEnd"/>
            <w:r>
              <w:rPr>
                <w:sz w:val="24"/>
                <w:szCs w:val="24"/>
              </w:rPr>
              <w:t>. белья 40 кг) W3400H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 стирально-отжимная ВО-25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Мебель кухонная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Миксер 2 чаши VEMA (</w:t>
            </w:r>
            <w:proofErr w:type="spellStart"/>
            <w:r>
              <w:rPr>
                <w:sz w:val="24"/>
                <w:szCs w:val="24"/>
              </w:rPr>
              <w:t>Лоби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Миксер планетарный 20 л </w:t>
            </w:r>
            <w:proofErr w:type="spellStart"/>
            <w:r>
              <w:rPr>
                <w:sz w:val="24"/>
                <w:szCs w:val="24"/>
              </w:rPr>
              <w:t>Dito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Sama</w:t>
            </w:r>
            <w:proofErr w:type="spellEnd"/>
            <w:r>
              <w:rPr>
                <w:sz w:val="24"/>
                <w:szCs w:val="24"/>
              </w:rPr>
              <w:t xml:space="preserve">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Миксер планетарный APACH BAKERY LINE SM7 1ф белый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Миксер планетарный некомплект </w:t>
            </w:r>
            <w:proofErr w:type="spellStart"/>
            <w:r>
              <w:rPr>
                <w:sz w:val="24"/>
                <w:szCs w:val="24"/>
              </w:rPr>
              <w:t>Spar</w:t>
            </w:r>
            <w:proofErr w:type="spellEnd"/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000000448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 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17390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Мини-бар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на 2 ванны для мяса из н/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spellEnd"/>
            <w:r>
              <w:rPr>
                <w:sz w:val="24"/>
                <w:szCs w:val="24"/>
              </w:rPr>
              <w:t xml:space="preserve"> (Мясной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на 2 ванны из н/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spellEnd"/>
            <w:r>
              <w:rPr>
                <w:sz w:val="24"/>
                <w:szCs w:val="24"/>
              </w:rPr>
              <w:t xml:space="preserve"> для овощей (Овощной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Мойка с правосторонним доступом из н/</w:t>
            </w:r>
            <w:proofErr w:type="spellStart"/>
            <w:r>
              <w:rPr>
                <w:sz w:val="24"/>
                <w:szCs w:val="24"/>
              </w:rPr>
              <w:t>ст</w:t>
            </w:r>
            <w:proofErr w:type="spellEnd"/>
            <w:r>
              <w:rPr>
                <w:sz w:val="24"/>
                <w:szCs w:val="24"/>
              </w:rPr>
              <w:t xml:space="preserve"> (Кухня «</w:t>
            </w:r>
            <w:proofErr w:type="spellStart"/>
            <w:r>
              <w:rPr>
                <w:sz w:val="24"/>
                <w:szCs w:val="24"/>
              </w:rPr>
              <w:t>Бразери</w:t>
            </w:r>
            <w:proofErr w:type="spellEnd"/>
            <w:r>
              <w:rPr>
                <w:sz w:val="24"/>
                <w:szCs w:val="24"/>
              </w:rPr>
              <w:t>»)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000002463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Мойка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 xml:space="preserve"> левосторонняя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МФУ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Настольная лампа большая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Настольная лампа большая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5133,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5133,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5231,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5574,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5574,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5741,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5245,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5245,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Настольный светильник, арт. 5706, метал. основа, тканевый </w:t>
            </w:r>
            <w:r>
              <w:rPr>
                <w:sz w:val="24"/>
                <w:szCs w:val="24"/>
              </w:rPr>
              <w:lastRenderedPageBreak/>
              <w:t>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000002705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5706,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светильник, арт. 5891, метал. основа, тканевый абажур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Овальный каменный стол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Овальный каменный стол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Осветительный прибор </w:t>
            </w:r>
            <w:proofErr w:type="spellStart"/>
            <w:r>
              <w:rPr>
                <w:sz w:val="24"/>
                <w:szCs w:val="24"/>
              </w:rPr>
              <w:t>Spender</w:t>
            </w:r>
            <w:proofErr w:type="spellEnd"/>
            <w:r>
              <w:rPr>
                <w:sz w:val="24"/>
                <w:szCs w:val="24"/>
              </w:rPr>
              <w:t xml:space="preserve"> 90 RGB W4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Осветительный прибор </w:t>
            </w:r>
            <w:proofErr w:type="spellStart"/>
            <w:r>
              <w:rPr>
                <w:sz w:val="24"/>
                <w:szCs w:val="24"/>
              </w:rPr>
              <w:t>Spender</w:t>
            </w:r>
            <w:proofErr w:type="spellEnd"/>
            <w:r>
              <w:rPr>
                <w:sz w:val="24"/>
                <w:szCs w:val="24"/>
              </w:rPr>
              <w:t xml:space="preserve"> 90 RGB W4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18997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Осветительный прибор </w:t>
            </w:r>
            <w:proofErr w:type="spellStart"/>
            <w:r>
              <w:rPr>
                <w:sz w:val="24"/>
                <w:szCs w:val="24"/>
              </w:rPr>
              <w:t>Spender</w:t>
            </w:r>
            <w:proofErr w:type="spellEnd"/>
            <w:r>
              <w:rPr>
                <w:sz w:val="24"/>
                <w:szCs w:val="24"/>
              </w:rPr>
              <w:t xml:space="preserve"> 90 RGB W4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Пароконвектомат</w:t>
            </w:r>
            <w:proofErr w:type="spellEnd"/>
            <w:r>
              <w:rPr>
                <w:sz w:val="24"/>
                <w:szCs w:val="24"/>
              </w:rPr>
              <w:t xml:space="preserve"> UNOX XEVC-1011-E1RM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Пейзажи парные «Речной пейзаж с девушкой, сидящей под деревом», «Речной пейзаж с лодкой»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Печь SALVA для выпечки со встроенной вытяжкой в к-те с </w:t>
            </w:r>
            <w:proofErr w:type="spellStart"/>
            <w:r>
              <w:rPr>
                <w:sz w:val="24"/>
                <w:szCs w:val="24"/>
              </w:rPr>
              <w:t>расстойкой</w:t>
            </w:r>
            <w:proofErr w:type="spellEnd"/>
            <w:r>
              <w:rPr>
                <w:sz w:val="24"/>
                <w:szCs w:val="24"/>
              </w:rPr>
              <w:t xml:space="preserve"> для теста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конвекционная CONVOTHERM (смягчитель воды в комплекте) (01.2013)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Пила электрическая для нарезки мяса, в к-те основа для пилы SO1650F 3ph (Мясной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в сборе (Процессор CPU AM5 AMD </w:t>
            </w:r>
            <w:proofErr w:type="spellStart"/>
            <w:r>
              <w:rPr>
                <w:sz w:val="24"/>
                <w:szCs w:val="24"/>
              </w:rPr>
              <w:t>Ryzen</w:t>
            </w:r>
            <w:proofErr w:type="spellEnd"/>
            <w:r>
              <w:rPr>
                <w:sz w:val="24"/>
                <w:szCs w:val="24"/>
              </w:rPr>
              <w:t xml:space="preserve"> 7 8700F, Материнская плата / PRO B650M-P / MB MSI AMD B650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ТД-035391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Плита индукционная «</w:t>
            </w:r>
            <w:proofErr w:type="spellStart"/>
            <w:r>
              <w:rPr>
                <w:sz w:val="24"/>
                <w:szCs w:val="24"/>
              </w:rPr>
              <w:t>Кобор</w:t>
            </w:r>
            <w:proofErr w:type="spellEnd"/>
            <w:r>
              <w:rPr>
                <w:sz w:val="24"/>
                <w:szCs w:val="24"/>
              </w:rPr>
              <w:t xml:space="preserve"> 17-6S»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Поверхность рабочая нейтральная с односторонним доступом на базе PTD59 (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Grill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Подставка каменная (бежевый гранит 93*67) (Шок. комната)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Подставка каменная (белый мрамор 150*67) (Шок. комната)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Подставка каменная (белый мрамор 150*67) (Шок. комната)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Подставка каменная (белый мрамор 150*67) (Шок. комната)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000005187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Подставка настольная BV 7-40 </w:t>
            </w:r>
            <w:r>
              <w:rPr>
                <w:sz w:val="24"/>
                <w:szCs w:val="24"/>
              </w:rPr>
              <w:br/>
              <w:t>(№ 503, 04.2012)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Полка для полотенца на подставке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Полка настольная одноуровневая с тепловым элементом 1800 мм (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Grill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000003485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17426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для брюк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Пуф,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Пуф, гостиная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Пуф, основа буковое дерево, обивка ткань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настенный, метал. основа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настенный, метал. основа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000002652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настольный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настольный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настольный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Светильник потолочный с металлическим креплением RE044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000003479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000004892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000004894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с холод. поверхностью и открытой тумбой, 1500 мм, в к-те (</w:t>
            </w:r>
            <w:proofErr w:type="spellStart"/>
            <w:r>
              <w:rPr>
                <w:sz w:val="24"/>
                <w:szCs w:val="24"/>
              </w:rPr>
              <w:t>кафет</w:t>
            </w:r>
            <w:proofErr w:type="spellEnd"/>
            <w:r>
              <w:rPr>
                <w:sz w:val="24"/>
                <w:szCs w:val="24"/>
              </w:rPr>
              <w:t>. салаты) CMP 15f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холодильная с витриной и открытой тумбой, 1500 мм, в к-те CMV15F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Секция-мармит эл. с одной ванной, </w:t>
            </w:r>
            <w:proofErr w:type="spellStart"/>
            <w:r>
              <w:rPr>
                <w:sz w:val="24"/>
                <w:szCs w:val="24"/>
              </w:rPr>
              <w:t>тепл</w:t>
            </w:r>
            <w:proofErr w:type="spellEnd"/>
            <w:r>
              <w:rPr>
                <w:sz w:val="24"/>
                <w:szCs w:val="24"/>
              </w:rPr>
              <w:t>. труб. и 2 дверями,1500 мм, в к-те СМ15/С2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для умягчения воды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00-035253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Скульптура «Арлекин»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Скульптура «Искрометный конь» (Украина)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Скульптура «Могучий конь»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Скульптура «Укрощение коня»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09892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Снегоуборочная машина STH 8-66 (</w:t>
            </w:r>
            <w:proofErr w:type="spellStart"/>
            <w:r>
              <w:rPr>
                <w:sz w:val="24"/>
                <w:szCs w:val="24"/>
              </w:rPr>
              <w:t>Eg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000002375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000005247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000005575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000005757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(с зеркальной поверхностью)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(с зеркальной поверхностью)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(сверху зеркало)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(сверху зеркало)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000005756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гладильный ЛГС-103.34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00-035361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для разделки мяса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 xml:space="preserve"> с нижней полкой, 1800 мм, TLC1810S (Мясной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журнальный квадратный большой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круглый большой, стеклянная столешница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круглый с мраморной столешницей (холл 1 </w:t>
            </w:r>
            <w:proofErr w:type="spellStart"/>
            <w:r>
              <w:rPr>
                <w:sz w:val="24"/>
                <w:szCs w:val="24"/>
              </w:rPr>
              <w:t>эт</w:t>
            </w:r>
            <w:proofErr w:type="spellEnd"/>
            <w:r>
              <w:rPr>
                <w:sz w:val="24"/>
                <w:szCs w:val="24"/>
              </w:rPr>
              <w:t>.) FR024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массажный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массажный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нерж. сталь, под </w:t>
            </w:r>
            <w:proofErr w:type="spellStart"/>
            <w:r>
              <w:rPr>
                <w:sz w:val="24"/>
                <w:szCs w:val="24"/>
              </w:rPr>
              <w:t>хлебопечкой</w:t>
            </w:r>
            <w:proofErr w:type="spellEnd"/>
            <w:r>
              <w:rPr>
                <w:sz w:val="24"/>
                <w:szCs w:val="24"/>
              </w:rPr>
              <w:t xml:space="preserve"> (Терраса)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000002388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овальный, черная мраморная столешница (Гранд 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овальный, черная мраморная столешница (Гранд 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овальный, черная мраморная столешница (Гранд 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овальный, черная мраморная столешница (Гранд 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передвижной для сортировки, 2000х720х905 мм (белый, сушка) RB10P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передвижной для сортировки, 2000х720х905 мм (белый, сушка) RB10P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передвижной для сортировки, 2000х720х905 мм (белый, сушка) RB10P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письменный, 2200х110х790В мм, эбонитовое </w:t>
            </w:r>
            <w:r>
              <w:rPr>
                <w:sz w:val="24"/>
                <w:szCs w:val="24"/>
              </w:rPr>
              <w:lastRenderedPageBreak/>
              <w:t>дерево, арт. А984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000002769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письменный, арт. А110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письменный коричневый </w:t>
            </w:r>
            <w:r>
              <w:rPr>
                <w:sz w:val="24"/>
                <w:szCs w:val="24"/>
              </w:rPr>
              <w:br/>
              <w:t>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без </w:t>
            </w:r>
            <w:proofErr w:type="spellStart"/>
            <w:r>
              <w:rPr>
                <w:sz w:val="24"/>
                <w:szCs w:val="24"/>
              </w:rPr>
              <w:t>пристенка</w:t>
            </w:r>
            <w:proofErr w:type="spellEnd"/>
            <w:r>
              <w:rPr>
                <w:sz w:val="24"/>
                <w:szCs w:val="24"/>
              </w:rPr>
              <w:t>, 1600 мм, в к-те нижняя полка TG1610S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производственный мобильный, 1100 мм, в к-те нижняя полка, TG1600S (Овощной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 xml:space="preserve">, 1800 мм, в к-те </w:t>
            </w:r>
            <w:proofErr w:type="spellStart"/>
            <w:r>
              <w:rPr>
                <w:sz w:val="24"/>
                <w:szCs w:val="24"/>
              </w:rPr>
              <w:t>ниж</w:t>
            </w:r>
            <w:proofErr w:type="spellEnd"/>
            <w:r>
              <w:rPr>
                <w:sz w:val="24"/>
                <w:szCs w:val="24"/>
              </w:rPr>
              <w:t>. полка для стола TG1810S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>, 1000 мм, TG1010S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000002520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>, 1000 мм, в к-те нижняя полка для стола TG1010S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>, 2000 мм, TG2010S (Шоколадная комната)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>, 2000 мм, в к-те с ящиком TG2010S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 xml:space="preserve">, 2000 мм, </w:t>
            </w:r>
            <w:r>
              <w:rPr>
                <w:sz w:val="24"/>
                <w:szCs w:val="24"/>
              </w:rPr>
              <w:br/>
              <w:t>в к-те TG2010S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производственный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>, 1100 мм, TG1110S (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Grill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производственный, 1600 мм, из н/ж, с полкой TG1600S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производственный, 1600 мм, из н/ж, с полкой TG1600S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производственный, 1600 мм, из н/ж, с полкой TG1600S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производственный, 1000 мм, TG1000S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столовый, 3000х1200х780 В мм, буковое дерево, арт. А713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холод. для разделки рыбы 2-дверный (с ванной </w:t>
            </w:r>
            <w:proofErr w:type="spellStart"/>
            <w:r>
              <w:rPr>
                <w:sz w:val="24"/>
                <w:szCs w:val="24"/>
              </w:rPr>
              <w:t>моеч</w:t>
            </w:r>
            <w:proofErr w:type="spellEnd"/>
            <w:proofErr w:type="gramStart"/>
            <w:r>
              <w:rPr>
                <w:sz w:val="24"/>
                <w:szCs w:val="24"/>
              </w:rPr>
              <w:t>.,душ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сиф</w:t>
            </w:r>
            <w:proofErr w:type="spellEnd"/>
            <w:r>
              <w:rPr>
                <w:sz w:val="24"/>
                <w:szCs w:val="24"/>
              </w:rPr>
              <w:t xml:space="preserve">.. 1,5, </w:t>
            </w:r>
            <w:proofErr w:type="spellStart"/>
            <w:r>
              <w:rPr>
                <w:sz w:val="24"/>
                <w:szCs w:val="24"/>
              </w:rPr>
              <w:t>смес</w:t>
            </w:r>
            <w:proofErr w:type="spellEnd"/>
            <w:r>
              <w:rPr>
                <w:sz w:val="24"/>
                <w:szCs w:val="24"/>
              </w:rPr>
              <w:t>. 3/4) TRNP 1802 (Мясной цех)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холодильный c 2 дверьми </w:t>
            </w:r>
            <w:proofErr w:type="spellStart"/>
            <w:r>
              <w:rPr>
                <w:sz w:val="24"/>
                <w:szCs w:val="24"/>
              </w:rPr>
              <w:t>Coolling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system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Jordao</w:t>
            </w:r>
            <w:proofErr w:type="spellEnd"/>
            <w:r>
              <w:rPr>
                <w:sz w:val="24"/>
                <w:szCs w:val="24"/>
              </w:rPr>
              <w:t xml:space="preserve"> SP TP </w:t>
            </w:r>
            <w:r>
              <w:rPr>
                <w:sz w:val="24"/>
                <w:szCs w:val="24"/>
              </w:rPr>
              <w:lastRenderedPageBreak/>
              <w:t>(Терраса)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000002389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Стол холодильный </w:t>
            </w:r>
            <w:proofErr w:type="spellStart"/>
            <w:r>
              <w:rPr>
                <w:sz w:val="24"/>
                <w:szCs w:val="24"/>
              </w:rPr>
              <w:t>трехдверный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пристенком</w:t>
            </w:r>
            <w:proofErr w:type="spellEnd"/>
            <w:r>
              <w:rPr>
                <w:sz w:val="24"/>
                <w:szCs w:val="24"/>
              </w:rPr>
              <w:t xml:space="preserve"> TRNA 183a (Терраса-бар)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кофейный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кофейный, 1350х1350х500Вмм арт. А664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000003495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000005018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000005025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000005047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круглый, коричневое дерево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круглый, коричневое дерево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круглый, коричневое дерево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круглый, коричневое дерево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000004236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000004239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000004645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овальный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000004646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Столик-подставка с ширмой под ТВ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приставной, 750х750х700Вмм арт.А665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приставной, 750х750х700Вмм арт.А665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 круглый, диаметр 545 мм, 700Вмм, арт. А698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 круглый, диаметр 700 мм, 700Вмм арт. А698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000002791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приставной, диаметр 650 мм, 700Вмм, арт. А975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приставной, диаметр 700х700х700Вмм, арт. А975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с мраморной столешницей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с мраморной столешницей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 туалетный, 1300х690х1510Вмм, арт. А28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Столик-тумба прикроватный, 700х480х720Вмм, арт. А369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Столик-тумба прикроватный, 700х480х720Вмм, арт. А369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Стол-тумба с мобильным контейнером, 610х500х850 (Терраса-бар)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Pr="00DC1573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Стол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тумба</w:t>
            </w:r>
            <w:r w:rsidRPr="00DC157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тепловой</w:t>
            </w:r>
            <w:r w:rsidRPr="00DC1573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Electrolux MTS 1800p, 03.2012 (The Grill)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000005457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000005494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для письменного стола, ткань обивка, арт. А619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для письменного стола, ткань обивка, арт. А923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000002773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для туалетного столика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обеденный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 синей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 синей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Стул с тканевой обивкой, 64х96х64 см (овальная спинка, </w:t>
            </w:r>
            <w:r>
              <w:rPr>
                <w:sz w:val="24"/>
                <w:szCs w:val="24"/>
              </w:rPr>
              <w:lastRenderedPageBreak/>
              <w:t>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Стул с тканевой обивкой, 64х96х64 см (овальная спинка, </w:t>
            </w:r>
            <w:r>
              <w:rPr>
                <w:sz w:val="24"/>
                <w:szCs w:val="24"/>
              </w:rPr>
              <w:lastRenderedPageBreak/>
              <w:t>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Стул с тканевой обивкой, 64х96х64 см (овальная спинка, </w:t>
            </w:r>
            <w:r>
              <w:rPr>
                <w:sz w:val="24"/>
                <w:szCs w:val="24"/>
              </w:rPr>
              <w:lastRenderedPageBreak/>
              <w:t>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24403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 тканевой обивкой, 64х96х64 см (овальная спинка, обивка желтая) CS042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000002783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столовый, арт. А261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столовый (номер 502)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тканевый зеленый с овальной спинкой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 тканевый зеленый с овальной спинкой (номер 505)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Стульчик (кож.)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Стульчик (кож.)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Стульчик (кож.)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000002867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Стулья обеденные (номер 504)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Сушильный барабан Т530, загрузка 29,4 кг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000002813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Табурет барный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000005215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Табурет барный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Табурет барный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Табурет барный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17825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000005099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000005106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32" </w:t>
            </w:r>
            <w:proofErr w:type="spellStart"/>
            <w:r>
              <w:rPr>
                <w:sz w:val="24"/>
                <w:szCs w:val="24"/>
              </w:rPr>
              <w:t>BeoVision</w:t>
            </w:r>
            <w:proofErr w:type="spellEnd"/>
            <w:r>
              <w:rPr>
                <w:sz w:val="24"/>
                <w:szCs w:val="24"/>
              </w:rPr>
              <w:t xml:space="preserve"> 10-32</w:t>
            </w:r>
            <w:r>
              <w:rPr>
                <w:sz w:val="24"/>
                <w:szCs w:val="24"/>
              </w:rPr>
              <w:br/>
              <w:t>(№ 503) (04.2012)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BeoVision</w:t>
            </w:r>
            <w:proofErr w:type="spellEnd"/>
            <w:r>
              <w:rPr>
                <w:sz w:val="24"/>
                <w:szCs w:val="24"/>
              </w:rPr>
              <w:t xml:space="preserve"> 7-40 </w:t>
            </w:r>
            <w:proofErr w:type="spellStart"/>
            <w:r>
              <w:rPr>
                <w:sz w:val="24"/>
                <w:szCs w:val="24"/>
              </w:rPr>
              <w:t>Blu-ray</w:t>
            </w:r>
            <w:proofErr w:type="spellEnd"/>
            <w:r>
              <w:rPr>
                <w:sz w:val="24"/>
                <w:szCs w:val="24"/>
              </w:rPr>
              <w:t xml:space="preserve"> (№ 503) (04.2012)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000002736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32"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000005333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000003460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000005097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Телевизор </w:t>
            </w:r>
            <w:proofErr w:type="spellStart"/>
            <w:r>
              <w:rPr>
                <w:sz w:val="24"/>
                <w:szCs w:val="24"/>
              </w:rPr>
              <w:t>Philips</w:t>
            </w:r>
            <w:proofErr w:type="spellEnd"/>
            <w:r>
              <w:rPr>
                <w:sz w:val="24"/>
                <w:szCs w:val="24"/>
              </w:rPr>
              <w:t xml:space="preserve"> 37"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Тележка банкет. для 10 дек с подогревом и </w:t>
            </w:r>
            <w:proofErr w:type="spellStart"/>
            <w:r>
              <w:rPr>
                <w:sz w:val="24"/>
                <w:szCs w:val="24"/>
              </w:rPr>
              <w:t>увлажненением</w:t>
            </w:r>
            <w:proofErr w:type="spellEnd"/>
            <w:r>
              <w:rPr>
                <w:sz w:val="24"/>
                <w:szCs w:val="24"/>
              </w:rPr>
              <w:t>, в к-те CCB 10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Тележка банкет. для 10 дек с подогревом и </w:t>
            </w:r>
            <w:proofErr w:type="spellStart"/>
            <w:r>
              <w:rPr>
                <w:sz w:val="24"/>
                <w:szCs w:val="24"/>
              </w:rPr>
              <w:t>увлажненением</w:t>
            </w:r>
            <w:proofErr w:type="spellEnd"/>
            <w:r>
              <w:rPr>
                <w:sz w:val="24"/>
                <w:szCs w:val="24"/>
              </w:rPr>
              <w:t xml:space="preserve">, в </w:t>
            </w:r>
            <w:r>
              <w:rPr>
                <w:sz w:val="24"/>
                <w:szCs w:val="24"/>
              </w:rPr>
              <w:lastRenderedPageBreak/>
              <w:t>к-те CCB 10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000002945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Тележка банкетная с подогревом на колесах на 10 полок, 1600х775х500 (кухня)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Тележка двухуровневая 600 мм, 100 кг CPM062 (Главная кухня)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Тележка двухуровневая 600 мм, груз.100 кг CPM062(Главная кухня)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Тележка двухуровневая 600 мм, груз. 100 кг CPM062 (Главная кухня)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Тележка для 6 подносов на колесах 771006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000005502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Тележка для транспортировки ящиков для подогрева пищи (</w:t>
            </w:r>
            <w:proofErr w:type="spellStart"/>
            <w:r>
              <w:rPr>
                <w:sz w:val="24"/>
                <w:szCs w:val="24"/>
              </w:rPr>
              <w:t>Румсервис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000004314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Тележка из н/стали 500х800, </w:t>
            </w:r>
            <w:r>
              <w:rPr>
                <w:sz w:val="24"/>
                <w:szCs w:val="24"/>
              </w:rPr>
              <w:br/>
              <w:t>3 полки, гранитный топ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000004337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Тестомес спиральный, (25 кг теста за операцию) SP25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Тренажер для развития мышц передней поверхности бедра М810А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Тренажер жим ногами М851А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Тренажер </w:t>
            </w:r>
            <w:proofErr w:type="spellStart"/>
            <w:r>
              <w:rPr>
                <w:sz w:val="24"/>
                <w:szCs w:val="24"/>
              </w:rPr>
              <w:t>кроссовер</w:t>
            </w:r>
            <w:proofErr w:type="spellEnd"/>
            <w:r>
              <w:rPr>
                <w:sz w:val="24"/>
                <w:szCs w:val="24"/>
              </w:rPr>
              <w:t xml:space="preserve"> М824N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000005800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000003122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TV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000003123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000003124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000003560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000003586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000003588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000003595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000003738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000003747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000003993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000003998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000003999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000004013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000004020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000004764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000004766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под телевизор с мраморной столешницей (номерной фонд)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000003490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000003493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000003631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000003639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000003826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000003831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000004172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000004175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000004417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000004439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000004440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000004446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000004463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000004469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000004480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000004493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000004499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000004501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000004509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000004514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000004520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000004525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1738.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000004914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1745.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000004919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000004920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1751.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1757.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000004929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000004930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000004931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000004932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000004942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000004943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1764.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000004945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000004948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000004949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1770.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1776.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000004959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000004964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1783.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000004967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000005344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000005346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17452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1789.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1795.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17481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17557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17577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1802.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17578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прикроватная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17591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Тумба приставная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000005385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1808.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Холодильник </w:t>
            </w:r>
            <w:proofErr w:type="spellStart"/>
            <w:r>
              <w:rPr>
                <w:sz w:val="24"/>
                <w:szCs w:val="24"/>
              </w:rPr>
              <w:t>Liebherr</w:t>
            </w:r>
            <w:proofErr w:type="spellEnd"/>
            <w:r>
              <w:rPr>
                <w:sz w:val="24"/>
                <w:szCs w:val="24"/>
              </w:rPr>
              <w:t xml:space="preserve"> 3612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000002969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 вентилированный (стеклянные двери, корпус н/ж сталь) VPS/C014 S/S (</w:t>
            </w:r>
            <w:proofErr w:type="spellStart"/>
            <w:r>
              <w:rPr>
                <w:sz w:val="24"/>
                <w:szCs w:val="24"/>
              </w:rPr>
              <w:t>Бразери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000002446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 вентилированный (стеклянные двери, корпус н/ж сталь) VPS/C014 S/S (</w:t>
            </w:r>
            <w:proofErr w:type="spellStart"/>
            <w:r>
              <w:rPr>
                <w:sz w:val="24"/>
                <w:szCs w:val="24"/>
              </w:rPr>
              <w:t>Бразери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000002447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 вентилированный (стеклянные двери, корпус н/ж сталь) VPS/C014 S/S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000002551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 вентилированный (стеклянные двери, корпус н/ж сталь) VPS/C014 S/S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000002552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 вентилированный (стеклянные двери, корпус н/ж сталь) VPS/C014 S/S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000002553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1814.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Холодильник для вина TEFCOLD, 500х760, стеклянные двери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каминные (бронза, Франция)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07954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полочкой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000005689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с канделябром (триптих к камину, Франция)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000002361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Черный рояль со стульчиком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000002606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Шкаф, 2-холодильное цифровое управление, </w:t>
            </w:r>
            <w:proofErr w:type="spellStart"/>
            <w:r>
              <w:rPr>
                <w:sz w:val="24"/>
                <w:szCs w:val="24"/>
              </w:rPr>
              <w:t>двухдверный</w:t>
            </w:r>
            <w:proofErr w:type="spellEnd"/>
            <w:r>
              <w:rPr>
                <w:sz w:val="24"/>
                <w:szCs w:val="24"/>
              </w:rPr>
              <w:t>, 1300 л, ADNN 220 (</w:t>
            </w:r>
            <w:proofErr w:type="spellStart"/>
            <w:r>
              <w:rPr>
                <w:sz w:val="24"/>
                <w:szCs w:val="24"/>
              </w:rPr>
              <w:t>The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Grill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000002450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двухкамерный, холод./мороз., цифровое управление, ADNF 120 </w:t>
            </w:r>
            <w:r>
              <w:rPr>
                <w:sz w:val="24"/>
                <w:szCs w:val="24"/>
              </w:rPr>
              <w:lastRenderedPageBreak/>
              <w:t>(Терраса)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</w:t>
            </w:r>
            <w:r>
              <w:rPr>
                <w:sz w:val="24"/>
                <w:szCs w:val="24"/>
              </w:rPr>
              <w:lastRenderedPageBreak/>
              <w:t>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000002379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1821.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холод., </w:t>
            </w:r>
            <w:proofErr w:type="spellStart"/>
            <w:r>
              <w:rPr>
                <w:sz w:val="24"/>
                <w:szCs w:val="24"/>
              </w:rPr>
              <w:t>двухдверный</w:t>
            </w:r>
            <w:proofErr w:type="spellEnd"/>
            <w:r>
              <w:rPr>
                <w:sz w:val="24"/>
                <w:szCs w:val="24"/>
              </w:rPr>
              <w:t>, цифровое управление, 1400 л, ADN 220 (Главная кухня)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000002405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холодильный </w:t>
            </w:r>
            <w:proofErr w:type="spellStart"/>
            <w:r>
              <w:rPr>
                <w:sz w:val="24"/>
                <w:szCs w:val="24"/>
              </w:rPr>
              <w:t>однодверный</w:t>
            </w:r>
            <w:proofErr w:type="spellEnd"/>
            <w:r>
              <w:rPr>
                <w:sz w:val="24"/>
                <w:szCs w:val="24"/>
              </w:rPr>
              <w:t xml:space="preserve"> с электронным управлением ALP1103 (Лобби)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000002555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холодильный, цифровое управление, </w:t>
            </w:r>
            <w:proofErr w:type="spellStart"/>
            <w:r>
              <w:rPr>
                <w:sz w:val="24"/>
                <w:szCs w:val="24"/>
              </w:rPr>
              <w:t>однодверный</w:t>
            </w:r>
            <w:proofErr w:type="spellEnd"/>
            <w:r>
              <w:rPr>
                <w:sz w:val="24"/>
                <w:szCs w:val="24"/>
              </w:rPr>
              <w:t xml:space="preserve"> ALP1103 (Кафетерий)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000002507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холодильный, цифровое управление, </w:t>
            </w:r>
            <w:proofErr w:type="spellStart"/>
            <w:r>
              <w:rPr>
                <w:sz w:val="24"/>
                <w:szCs w:val="24"/>
              </w:rPr>
              <w:t>однодверный</w:t>
            </w:r>
            <w:proofErr w:type="spellEnd"/>
            <w:r>
              <w:rPr>
                <w:sz w:val="24"/>
                <w:szCs w:val="24"/>
              </w:rPr>
              <w:t>, 650 л, ADN 110 (Шок. комната)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000002523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холодильный цифровое управление, </w:t>
            </w:r>
            <w:proofErr w:type="spellStart"/>
            <w:r>
              <w:rPr>
                <w:sz w:val="24"/>
                <w:szCs w:val="24"/>
              </w:rPr>
              <w:t>однодверный</w:t>
            </w:r>
            <w:proofErr w:type="spellEnd"/>
            <w:r>
              <w:rPr>
                <w:sz w:val="24"/>
                <w:szCs w:val="24"/>
              </w:rPr>
              <w:t>, 650 л, ADN 110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000002522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холодильный, цифровое управление, </w:t>
            </w:r>
            <w:proofErr w:type="spellStart"/>
            <w:r>
              <w:rPr>
                <w:sz w:val="24"/>
                <w:szCs w:val="24"/>
              </w:rPr>
              <w:t>однодверный</w:t>
            </w:r>
            <w:proofErr w:type="spellEnd"/>
            <w:r>
              <w:rPr>
                <w:sz w:val="24"/>
                <w:szCs w:val="24"/>
              </w:rPr>
              <w:t>, 650 л, ADN 110 (Холодный)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Донецкая Народная Республика, городской округ Донецк, город Донецк, </w:t>
            </w:r>
            <w:r>
              <w:rPr>
                <w:sz w:val="24"/>
                <w:szCs w:val="24"/>
              </w:rPr>
              <w:lastRenderedPageBreak/>
              <w:t>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000002487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1827.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Шкаф холодильный, цифровое управление, 1300 л, ALP 2203 (Кондитерский)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000002524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1828.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bookmarkStart w:id="4" w:name="_GoBack_Копия_1"/>
            <w:bookmarkEnd w:id="4"/>
            <w:r>
              <w:rPr>
                <w:sz w:val="24"/>
                <w:szCs w:val="24"/>
              </w:rPr>
              <w:t>Шкаф холодильный, 400 л, н/ж сталь ICP110VA (Терраса-Бар)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000002393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1829.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000005168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000005169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1831.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000005170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1832.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000005164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1833.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000005165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1834.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000005166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000005167</w:t>
            </w:r>
          </w:p>
        </w:tc>
      </w:tr>
      <w:tr w:rsidR="009C05FB">
        <w:trPr>
          <w:trHeight w:val="446"/>
        </w:trPr>
        <w:tc>
          <w:tcPr>
            <w:tcW w:w="6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1836.</w:t>
            </w:r>
          </w:p>
        </w:tc>
        <w:tc>
          <w:tcPr>
            <w:tcW w:w="3362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электрический для подогрева еды 220-240 V (</w:t>
            </w:r>
            <w:proofErr w:type="spellStart"/>
            <w:r>
              <w:rPr>
                <w:sz w:val="24"/>
                <w:szCs w:val="24"/>
              </w:rPr>
              <w:t>Рум</w:t>
            </w:r>
            <w:proofErr w:type="spellEnd"/>
            <w:r>
              <w:rPr>
                <w:sz w:val="24"/>
                <w:szCs w:val="24"/>
              </w:rPr>
              <w:t>-сервис)</w:t>
            </w:r>
          </w:p>
        </w:tc>
        <w:tc>
          <w:tcPr>
            <w:tcW w:w="157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Донецкая Народная Республика, городской округ Донецк, город Донецк, улица Артема, дом 80</w:t>
            </w:r>
          </w:p>
        </w:tc>
        <w:tc>
          <w:tcPr>
            <w:tcW w:w="1919" w:type="dxa"/>
            <w:tcBorders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</w:tcMar>
            <w:vAlign w:val="center"/>
          </w:tcPr>
          <w:p w:rsidR="009C05FB" w:rsidRDefault="009F7C02">
            <w:pPr>
              <w:pStyle w:val="affd"/>
              <w:spacing w:after="283"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000005171</w:t>
            </w:r>
          </w:p>
        </w:tc>
      </w:tr>
    </w:tbl>
    <w:p w:rsidR="009C05FB" w:rsidRDefault="009C05FB">
      <w:pPr>
        <w:spacing w:line="276" w:lineRule="auto"/>
        <w:jc w:val="both"/>
        <w:rPr>
          <w:b/>
        </w:rPr>
      </w:pPr>
    </w:p>
    <w:p w:rsidR="009C05FB" w:rsidRDefault="008C2B2D">
      <w:pPr>
        <w:spacing w:after="360" w:line="276" w:lineRule="auto"/>
        <w:ind w:firstLine="709"/>
        <w:jc w:val="both"/>
      </w:pPr>
      <w:hyperlink r:id="rId15">
        <w:bookmarkStart w:id="5" w:name="__DdeLink__77193_2562362011"/>
        <w:r w:rsidR="009F7C02">
          <w:rPr>
            <w:rStyle w:val="a5"/>
            <w:i/>
            <w:iCs/>
            <w:szCs w:val="28"/>
          </w:rPr>
          <w:t>(Раздел III введен Законом от 02.09.2026 № 319-РЗ)</w:t>
        </w:r>
      </w:hyperlink>
      <w:bookmarkEnd w:id="5"/>
    </w:p>
    <w:p w:rsidR="009C05FB" w:rsidRDefault="009C05FB">
      <w:pPr>
        <w:spacing w:line="276" w:lineRule="auto"/>
        <w:jc w:val="both"/>
      </w:pPr>
    </w:p>
    <w:p w:rsidR="009C05FB" w:rsidRDefault="009F7C02">
      <w:pPr>
        <w:spacing w:line="276" w:lineRule="auto"/>
        <w:ind w:firstLine="709"/>
        <w:jc w:val="both"/>
      </w:pPr>
      <w:r>
        <w:rPr>
          <w:rStyle w:val="18"/>
          <w:sz w:val="28"/>
        </w:rPr>
        <w:t xml:space="preserve">Примечания: </w:t>
      </w:r>
    </w:p>
    <w:p w:rsidR="009C05FB" w:rsidRDefault="009F7C02">
      <w:pPr>
        <w:spacing w:line="276" w:lineRule="auto"/>
        <w:ind w:firstLine="709"/>
        <w:contextualSpacing/>
        <w:jc w:val="both"/>
      </w:pPr>
      <w:r>
        <w:rPr>
          <w:rStyle w:val="18"/>
          <w:sz w:val="28"/>
        </w:rPr>
        <w:t xml:space="preserve">1. На 1 ноября 2025 года Донецкая Народная Республика не имеет </w:t>
      </w:r>
      <w:r>
        <w:br/>
      </w:r>
      <w:r>
        <w:rPr>
          <w:rStyle w:val="18"/>
          <w:sz w:val="28"/>
        </w:rPr>
        <w:t>в собственности акций акционерных обществ и долей в уставных капиталах обществ с ограниченной ответственностью.</w:t>
      </w:r>
    </w:p>
    <w:p w:rsidR="009C05FB" w:rsidRDefault="009F7C02">
      <w:pPr>
        <w:spacing w:line="276" w:lineRule="auto"/>
        <w:jc w:val="both"/>
      </w:pPr>
      <w:r>
        <w:rPr>
          <w:rStyle w:val="18"/>
          <w:sz w:val="28"/>
        </w:rPr>
        <w:t xml:space="preserve">2. Способ приватизации выбирается в соответствии с </w:t>
      </w:r>
      <w:hyperlink r:id="rId16" w:history="1">
        <w:r w:rsidRPr="00D77836">
          <w:rPr>
            <w:rStyle w:val="a5"/>
          </w:rPr>
          <w:t xml:space="preserve">Федеральным законом от 21 декабря 2001 года № 178-ФЗ «О приватизации государственного </w:t>
        </w:r>
        <w:bookmarkStart w:id="6" w:name="_GoBack"/>
        <w:bookmarkEnd w:id="6"/>
        <w:r w:rsidRPr="00D77836">
          <w:rPr>
            <w:rStyle w:val="a5"/>
          </w:rPr>
          <w:t>и муниципального имущества»</w:t>
        </w:r>
      </w:hyperlink>
      <w:r>
        <w:rPr>
          <w:rStyle w:val="18"/>
          <w:sz w:val="28"/>
        </w:rPr>
        <w:t xml:space="preserve"> на основании утвержденного прогнозного плана (программы) приватизации имущества, находящегося в собственности Донецкой Народной Республики, на 2026 год.</w:t>
      </w:r>
    </w:p>
    <w:p w:rsidR="009C05FB" w:rsidRDefault="009F7C02">
      <w:pPr>
        <w:spacing w:line="276" w:lineRule="auto"/>
        <w:ind w:firstLine="709"/>
        <w:jc w:val="both"/>
      </w:pPr>
      <w:bookmarkStart w:id="7" w:name="_Hlk142643693"/>
      <w:r>
        <w:rPr>
          <w:rStyle w:val="18"/>
          <w:sz w:val="28"/>
        </w:rPr>
        <w:t>3. Наименование объекта и его характеристики (в том числе площади помещений) могут меняться в связи с технической инвентаризацией объекта.</w:t>
      </w:r>
      <w:bookmarkEnd w:id="7"/>
    </w:p>
    <w:p w:rsidR="009C05FB" w:rsidRDefault="008C2B2D">
      <w:pPr>
        <w:spacing w:after="360" w:line="276" w:lineRule="auto"/>
        <w:ind w:firstLine="709"/>
        <w:jc w:val="both"/>
        <w:rPr>
          <w:rStyle w:val="a5"/>
          <w:i/>
          <w:iCs/>
        </w:rPr>
      </w:pPr>
      <w:hyperlink r:id="rId17">
        <w:r w:rsidR="009F7C02">
          <w:rPr>
            <w:rStyle w:val="a5"/>
            <w:i/>
            <w:iCs/>
          </w:rPr>
          <w:t>(Примечание 3 введено Законом от 02.09.2026 № 319-РЗ)</w:t>
        </w:r>
      </w:hyperlink>
    </w:p>
    <w:p w:rsidR="00D77836" w:rsidRDefault="00D77836">
      <w:pPr>
        <w:spacing w:after="360" w:line="276" w:lineRule="auto"/>
        <w:ind w:firstLine="709"/>
        <w:jc w:val="both"/>
        <w:rPr>
          <w:rStyle w:val="a5"/>
          <w:i/>
          <w:iCs/>
        </w:rPr>
      </w:pPr>
    </w:p>
    <w:p w:rsidR="00D77836" w:rsidRDefault="00D77836">
      <w:pPr>
        <w:spacing w:after="360" w:line="276" w:lineRule="auto"/>
        <w:ind w:firstLine="709"/>
        <w:jc w:val="both"/>
        <w:rPr>
          <w:rStyle w:val="a5"/>
          <w:i/>
          <w:iCs/>
        </w:rPr>
      </w:pPr>
    </w:p>
    <w:p w:rsidR="00D77836" w:rsidRDefault="00D77836">
      <w:pPr>
        <w:spacing w:after="360" w:line="276" w:lineRule="auto"/>
        <w:ind w:firstLine="709"/>
        <w:jc w:val="both"/>
        <w:rPr>
          <w:rStyle w:val="a5"/>
          <w:i/>
          <w:iCs/>
        </w:rPr>
      </w:pPr>
    </w:p>
    <w:p w:rsidR="00D77836" w:rsidRDefault="00D77836">
      <w:pPr>
        <w:spacing w:after="360" w:line="276" w:lineRule="auto"/>
        <w:ind w:firstLine="709"/>
        <w:jc w:val="both"/>
      </w:pPr>
    </w:p>
    <w:sectPr w:rsidR="00D77836">
      <w:headerReference w:type="even" r:id="rId18"/>
      <w:headerReference w:type="default" r:id="rId19"/>
      <w:headerReference w:type="first" r:id="rId20"/>
      <w:pgSz w:w="11906" w:h="16838"/>
      <w:pgMar w:top="1134" w:right="567" w:bottom="1134" w:left="1701" w:header="62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B2D" w:rsidRDefault="008C2B2D">
      <w:pPr>
        <w:spacing w:line="240" w:lineRule="auto"/>
      </w:pPr>
      <w:r>
        <w:separator/>
      </w:r>
    </w:p>
  </w:endnote>
  <w:endnote w:type="continuationSeparator" w:id="0">
    <w:p w:rsidR="008C2B2D" w:rsidRDefault="008C2B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charset w:val="01"/>
    <w:family w:val="roman"/>
    <w:pitch w:val="default"/>
  </w:font>
  <w:font w:name="FreeSan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B2D" w:rsidRDefault="008C2B2D">
      <w:pPr>
        <w:spacing w:line="240" w:lineRule="auto"/>
      </w:pPr>
      <w:r>
        <w:separator/>
      </w:r>
    </w:p>
  </w:footnote>
  <w:footnote w:type="continuationSeparator" w:id="0">
    <w:p w:rsidR="008C2B2D" w:rsidRDefault="008C2B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02" w:rsidRDefault="009F7C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02" w:rsidRDefault="009F7C02">
    <w:pPr>
      <w:pStyle w:val="a7"/>
      <w:jc w:val="center"/>
      <w:rPr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95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86435" cy="228600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2286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F7C02" w:rsidRDefault="009F7C02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86D35">
                            <w:rPr>
                              <w:noProof/>
                              <w:sz w:val="24"/>
                              <w:szCs w:val="24"/>
                            </w:rPr>
                            <w:t>296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0;margin-top:.05pt;width:54.05pt;height:18pt;z-index:29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YLfywEAAGwDAAAOAAAAZHJzL2Uyb0RvYy54bWysU8Fu2zAMvQ/YPwi6N3bcLQiMOMXaIsOA&#10;YRvQ7QNkWY4FSKIgqbFz2zfsS3YZBuwr3D8aJcdpsd6K+SCTFP3I90hvrgatyEE4L8FUdLnIKRGG&#10;QyPNvqLfvu4u1pT4wEzDFBhR0aPw9Gr7+tWmt6UooAPVCEcQxPiytxXtQrBllnneCc38AqwweNmC&#10;0yyg6/ZZ41iP6FplRZ6vsh5cYx1w4T1Gb6dLuk34bSt4+Ny2XgSiKoq9hXS6dNbxzLYbVu4ds53k&#10;pzbYC7rQTBoseoa6ZYGReyefQWnJHXhow4KDzqBtJReJA7JZ5v+wueuYFYkLiuPtWSb//2D5p8MX&#10;R2RT0YISwzSOaPzx8H38Nf4e/4w/l1Gg3voS8+4sZobhGgYc9Bz3GIy8h9bp+EZGBO9R6uNZXjEE&#10;wjG4Wq/eXL6lhONVUaxXeZI/e/zYOh/eC9AkGhV1OL0kKjt89AEbwdQ5JdbyoGSzk0olx+3rG+XI&#10;geGkd+mZvlW2Y1N0Luen1IT3BCOLPCc+0QpDPZzI19Ackbv6YFD5uEWz4Wajng1meAe4X1Pj3r67&#10;D7CTqfkIOiFh5ejgSFMPp/WLO/PUT1mPP8n2LwAAAP//AwBQSwMEFAAGAAgAAAAhAC7afmnZAAAA&#10;BAEAAA8AAABkcnMvZG93bnJldi54bWxMj0FPwzAMhe9I/IfISNxYOpCmUZpOE1IlJhCMAfcsMW21&#10;xKmSbCv/HvcENz8/673P1Wr0Tpwwpj6QgvmsAIFkgu2pVfD50dwsQaSsyWoXCBX8YIJVfXlR6dKG&#10;M73jaZdbwSGUSq2gy3kopUymQ6/TLAxI7H2H6HVmGVtpoz5zuHfytigW0uueuKHTAz52aA67o1eQ&#10;mkN6e13Hp+3XvaPGbF424dkodX01rh9AZBzz3zFM+IwONTPtw5FsEk4BP5KnrZi8YsnDXsHdYg6y&#10;ruR/+PoXAAD//wMAUEsBAi0AFAAGAAgAAAAhALaDOJL+AAAA4QEAABMAAAAAAAAAAAAAAAAAAAAA&#10;AFtDb250ZW50X1R5cGVzXS54bWxQSwECLQAUAAYACAAAACEAOP0h/9YAAACUAQAACwAAAAAAAAAA&#10;AAAAAAAvAQAAX3JlbHMvLnJlbHNQSwECLQAUAAYACAAAACEAfh2C38sBAABsAwAADgAAAAAAAAAA&#10;AAAAAAAuAgAAZHJzL2Uyb0RvYy54bWxQSwECLQAUAAYACAAAACEALtp+adkAAAAEAQAADwAAAAAA&#10;AAAAAAAAAAAlBAAAZHJzL2Rvd25yZXYueG1sUEsFBgAAAAAEAAQA8wAAACsFAAAAAA==&#10;" o:allowincell="f" stroked="f">
              <v:fill opacity="0"/>
              <v:textbox style="mso-fit-shape-to-text:t" inset="0,0,0,0">
                <w:txbxContent>
                  <w:p w:rsidR="009F7C02" w:rsidRDefault="009F7C02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886D35">
                      <w:rPr>
                        <w:noProof/>
                        <w:sz w:val="24"/>
                        <w:szCs w:val="24"/>
                      </w:rPr>
                      <w:t>296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9F7C02" w:rsidRDefault="009F7C02">
    <w:pPr>
      <w:pStyle w:val="a7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C02" w:rsidRDefault="009F7C0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5FB"/>
    <w:rsid w:val="00485E42"/>
    <w:rsid w:val="0069196E"/>
    <w:rsid w:val="00863CD8"/>
    <w:rsid w:val="00886D35"/>
    <w:rsid w:val="008C2B2D"/>
    <w:rsid w:val="009C05FB"/>
    <w:rsid w:val="009F7C02"/>
    <w:rsid w:val="00D77836"/>
    <w:rsid w:val="00DC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0800B"/>
  <w15:docId w15:val="{E7DA790B-B5CF-4EC1-9E12-66E8D6F5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360" w:lineRule="exact"/>
      <w:ind w:firstLine="720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 w:line="276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ind w:firstLine="0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 w:line="276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link w:val="110"/>
    <w:qFormat/>
    <w:rPr>
      <w:rFonts w:ascii="Times New Roman" w:hAnsi="Times New Roman"/>
      <w:sz w:val="28"/>
    </w:rPr>
  </w:style>
  <w:style w:type="character" w:customStyle="1" w:styleId="12">
    <w:name w:val="Строгий1"/>
    <w:basedOn w:val="13"/>
    <w:link w:val="111"/>
    <w:qFormat/>
    <w:rPr>
      <w:b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qFormat/>
    <w:rPr>
      <w:rFonts w:ascii="XO Thames" w:hAnsi="XO Thames"/>
      <w:sz w:val="28"/>
    </w:rPr>
  </w:style>
  <w:style w:type="character" w:customStyle="1" w:styleId="6">
    <w:name w:val="Оглавление 6 Знак"/>
    <w:link w:val="60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qFormat/>
    <w:rPr>
      <w:rFonts w:ascii="XO Thames" w:hAnsi="XO Thames"/>
      <w:sz w:val="28"/>
    </w:rPr>
  </w:style>
  <w:style w:type="character" w:customStyle="1" w:styleId="14">
    <w:name w:val="Знак примечания1"/>
    <w:basedOn w:val="13"/>
    <w:link w:val="112"/>
    <w:qFormat/>
    <w:rPr>
      <w:sz w:val="16"/>
    </w:rPr>
  </w:style>
  <w:style w:type="character" w:customStyle="1" w:styleId="30">
    <w:name w:val="Заголовок 3 Знак"/>
    <w:link w:val="3"/>
    <w:qFormat/>
    <w:rPr>
      <w:rFonts w:ascii="XO Thames" w:hAnsi="XO Thames"/>
      <w:b/>
      <w:sz w:val="26"/>
    </w:rPr>
  </w:style>
  <w:style w:type="character" w:customStyle="1" w:styleId="23">
    <w:name w:val="Неразрешенное упоминание2"/>
    <w:basedOn w:val="a0"/>
    <w:link w:val="113"/>
    <w:qFormat/>
    <w:rPr>
      <w:color w:val="605E5C"/>
      <w:shd w:val="clear" w:color="auto" w:fill="E1DFDD"/>
    </w:rPr>
  </w:style>
  <w:style w:type="character" w:customStyle="1" w:styleId="ConsPlusTitle">
    <w:name w:val="ConsPlusTitle"/>
    <w:link w:val="ConsPlusTitle1"/>
    <w:qFormat/>
    <w:rPr>
      <w:rFonts w:ascii="Times New Roman" w:hAnsi="Times New Roman"/>
      <w:b/>
      <w:sz w:val="28"/>
    </w:rPr>
  </w:style>
  <w:style w:type="character" w:customStyle="1" w:styleId="31">
    <w:name w:val="Оглавление 3 Знак"/>
    <w:link w:val="32"/>
    <w:qFormat/>
    <w:rPr>
      <w:rFonts w:ascii="XO Thames" w:hAnsi="XO Thames"/>
      <w:sz w:val="28"/>
    </w:rPr>
  </w:style>
  <w:style w:type="character" w:customStyle="1" w:styleId="a3">
    <w:name w:val="Основной текст Знак"/>
    <w:basedOn w:val="1"/>
    <w:link w:val="a4"/>
    <w:qFormat/>
    <w:rPr>
      <w:rFonts w:ascii="Times New Roman" w:hAnsi="Times New Roman"/>
      <w:sz w:val="26"/>
    </w:rPr>
  </w:style>
  <w:style w:type="character" w:customStyle="1" w:styleId="50">
    <w:name w:val="Заголовок 5 Знак"/>
    <w:link w:val="5"/>
    <w:qFormat/>
    <w:rPr>
      <w:rFonts w:ascii="XO Thames" w:hAnsi="XO Thames"/>
      <w:b/>
    </w:rPr>
  </w:style>
  <w:style w:type="character" w:customStyle="1" w:styleId="11">
    <w:name w:val="Заголовок 1 Знак"/>
    <w:link w:val="10"/>
    <w:qFormat/>
    <w:rPr>
      <w:rFonts w:ascii="XO Thames" w:hAnsi="XO Thames"/>
      <w:b/>
      <w:sz w:val="32"/>
    </w:rPr>
  </w:style>
  <w:style w:type="character" w:styleId="a5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</w:rPr>
  </w:style>
  <w:style w:type="character" w:customStyle="1" w:styleId="a6">
    <w:name w:val="Верхний колонтитул Знак"/>
    <w:basedOn w:val="1"/>
    <w:link w:val="a7"/>
    <w:qFormat/>
    <w:rPr>
      <w:rFonts w:ascii="Times New Roman" w:hAnsi="Times New Roman"/>
      <w:sz w:val="28"/>
    </w:rPr>
  </w:style>
  <w:style w:type="character" w:customStyle="1" w:styleId="15">
    <w:name w:val="Оглавление 1 Знак"/>
    <w:link w:val="16"/>
    <w:qFormat/>
    <w:rPr>
      <w:rFonts w:ascii="XO Thames" w:hAnsi="XO Thames"/>
      <w:b/>
      <w:sz w:val="28"/>
    </w:rPr>
  </w:style>
  <w:style w:type="character" w:customStyle="1" w:styleId="a8">
    <w:name w:val="Тема примечания Знак"/>
    <w:basedOn w:val="a9"/>
    <w:link w:val="aa"/>
    <w:qFormat/>
    <w:rPr>
      <w:rFonts w:ascii="Times New Roman" w:hAnsi="Times New Roman"/>
      <w:b/>
      <w:sz w:val="20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a9">
    <w:name w:val="Текст примечания Знак"/>
    <w:basedOn w:val="1"/>
    <w:link w:val="ab"/>
    <w:qFormat/>
    <w:rPr>
      <w:rFonts w:ascii="Times New Roman" w:hAnsi="Times New Roman"/>
      <w:sz w:val="20"/>
    </w:rPr>
  </w:style>
  <w:style w:type="character" w:customStyle="1" w:styleId="ac">
    <w:name w:val="Абзац списка Знак"/>
    <w:basedOn w:val="1"/>
    <w:link w:val="ad"/>
    <w:qFormat/>
    <w:rPr>
      <w:rFonts w:ascii="Times New Roman" w:hAnsi="Times New Roman"/>
      <w:sz w:val="28"/>
    </w:rPr>
  </w:style>
  <w:style w:type="character" w:customStyle="1" w:styleId="17">
    <w:name w:val="Гиперссылка1"/>
    <w:basedOn w:val="13"/>
    <w:link w:val="114"/>
    <w:qFormat/>
    <w:rPr>
      <w:color w:val="0000FF"/>
      <w:u w:val="single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ae">
    <w:name w:val="Без интервала Знак"/>
    <w:link w:val="af"/>
    <w:qFormat/>
    <w:rPr>
      <w:rFonts w:ascii="Times New Roman" w:hAnsi="Times New Roman"/>
      <w:sz w:val="28"/>
    </w:rPr>
  </w:style>
  <w:style w:type="character" w:customStyle="1" w:styleId="Standard">
    <w:name w:val="Standard"/>
    <w:link w:val="Standard1"/>
    <w:qFormat/>
    <w:rPr>
      <w:rFonts w:ascii="PT Astra Serif" w:hAnsi="PT Astra Serif"/>
      <w:sz w:val="28"/>
    </w:rPr>
  </w:style>
  <w:style w:type="character" w:customStyle="1" w:styleId="13">
    <w:name w:val="Основной шрифт абзаца1"/>
    <w:link w:val="115"/>
    <w:qFormat/>
  </w:style>
  <w:style w:type="character" w:customStyle="1" w:styleId="8">
    <w:name w:val="Оглавление 8 Знак"/>
    <w:link w:val="80"/>
    <w:qFormat/>
    <w:rPr>
      <w:rFonts w:ascii="XO Thames" w:hAnsi="XO Thames"/>
      <w:sz w:val="28"/>
    </w:rPr>
  </w:style>
  <w:style w:type="character" w:customStyle="1" w:styleId="af0">
    <w:name w:val="Текст выноски Знак"/>
    <w:basedOn w:val="1"/>
    <w:link w:val="af1"/>
    <w:qFormat/>
    <w:rPr>
      <w:rFonts w:ascii="Tahoma" w:hAnsi="Tahoma"/>
      <w:sz w:val="16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af2">
    <w:name w:val="Подзаголовок Знак"/>
    <w:link w:val="af3"/>
    <w:qFormat/>
    <w:rPr>
      <w:rFonts w:ascii="XO Thames" w:hAnsi="XO Thames"/>
      <w:i/>
      <w:sz w:val="24"/>
    </w:rPr>
  </w:style>
  <w:style w:type="character" w:customStyle="1" w:styleId="af4">
    <w:name w:val="Заголовок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qFormat/>
    <w:rPr>
      <w:rFonts w:ascii="XO Thames" w:hAnsi="XO Thames"/>
      <w:b/>
      <w:sz w:val="24"/>
    </w:rPr>
  </w:style>
  <w:style w:type="character" w:customStyle="1" w:styleId="af6">
    <w:name w:val="Нижний колонтитул Знак"/>
    <w:basedOn w:val="1"/>
    <w:link w:val="af7"/>
    <w:qFormat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qFormat/>
    <w:rPr>
      <w:rFonts w:ascii="Times New Roman" w:hAnsi="Times New Roman"/>
      <w:b/>
      <w:sz w:val="36"/>
    </w:rPr>
  </w:style>
  <w:style w:type="character" w:customStyle="1" w:styleId="18">
    <w:name w:val="Обычный (веб) Знак1"/>
    <w:basedOn w:val="1"/>
    <w:link w:val="af8"/>
    <w:qFormat/>
    <w:rPr>
      <w:rFonts w:ascii="Times New Roman" w:hAnsi="Times New Roman"/>
      <w:sz w:val="24"/>
    </w:rPr>
  </w:style>
  <w:style w:type="character" w:styleId="af9">
    <w:name w:val="annotation reference"/>
    <w:basedOn w:val="a0"/>
    <w:uiPriority w:val="99"/>
    <w:semiHidden/>
    <w:unhideWhenUsed/>
    <w:qFormat/>
    <w:rsid w:val="00FF1B57"/>
    <w:rPr>
      <w:sz w:val="16"/>
      <w:szCs w:val="16"/>
    </w:rPr>
  </w:style>
  <w:style w:type="character" w:customStyle="1" w:styleId="st">
    <w:name w:val="st"/>
    <w:qFormat/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61">
    <w:name w:val="Заголовок 6 Знак"/>
    <w:qFormat/>
    <w:rPr>
      <w:rFonts w:ascii="Arial" w:hAnsi="Arial"/>
      <w:b/>
      <w:color w:val="000000"/>
      <w:sz w:val="22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a">
    <w:name w:val="Заголовок оглавления Знак"/>
    <w:qFormat/>
    <w:rPr>
      <w:sz w:val="24"/>
    </w:rPr>
  </w:style>
  <w:style w:type="character" w:customStyle="1" w:styleId="SubtitleChar">
    <w:name w:val="Subtitle Char"/>
    <w:qFormat/>
    <w:rPr>
      <w:sz w:val="24"/>
    </w:rPr>
  </w:style>
  <w:style w:type="character" w:customStyle="1" w:styleId="afb">
    <w:name w:val="Название Знак"/>
    <w:qFormat/>
    <w:rPr>
      <w:color w:val="000000"/>
      <w:sz w:val="48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19">
    <w:name w:val="Нижний колонтитул Знак1"/>
    <w:qFormat/>
    <w:rPr>
      <w:color w:val="000000"/>
      <w:sz w:val="24"/>
    </w:rPr>
  </w:style>
  <w:style w:type="character" w:customStyle="1" w:styleId="116">
    <w:name w:val="Заголовок11"/>
    <w:qFormat/>
    <w:rPr>
      <w:rFonts w:ascii="PT Sans" w:hAnsi="PT Sans"/>
      <w:color w:val="000000"/>
      <w:sz w:val="28"/>
    </w:rPr>
  </w:style>
  <w:style w:type="character" w:customStyle="1" w:styleId="w3-t">
    <w:name w:val="w3-t"/>
    <w:qFormat/>
    <w:rPr>
      <w:rFonts w:ascii="Times New Roman" w:hAnsi="Times New Roman"/>
      <w:color w:val="000000"/>
      <w:sz w:val="24"/>
    </w:rPr>
  </w:style>
  <w:style w:type="character" w:customStyle="1" w:styleId="TitleChar">
    <w:name w:val="Title Char"/>
    <w:qFormat/>
    <w:rPr>
      <w:sz w:val="48"/>
    </w:rPr>
  </w:style>
  <w:style w:type="character" w:customStyle="1" w:styleId="CaptionChar">
    <w:name w:val="Caption Char"/>
    <w:qFormat/>
  </w:style>
  <w:style w:type="character" w:customStyle="1" w:styleId="24">
    <w:name w:val="Цитата 2 Знак"/>
    <w:qFormat/>
    <w:rPr>
      <w:i/>
      <w:color w:val="000000"/>
      <w:sz w:val="24"/>
    </w:rPr>
  </w:style>
  <w:style w:type="character" w:customStyle="1" w:styleId="afc">
    <w:name w:val="Выделенная цитата Знак"/>
    <w:qFormat/>
    <w:rPr>
      <w:i/>
      <w:color w:val="000000"/>
      <w:sz w:val="24"/>
    </w:rPr>
  </w:style>
  <w:style w:type="character" w:customStyle="1" w:styleId="ConsPlusNormal">
    <w:name w:val="ConsPlusNormal"/>
    <w:qFormat/>
    <w:rPr>
      <w:rFonts w:ascii="Times New Roman" w:hAnsi="Times New Roman"/>
      <w:sz w:val="24"/>
    </w:rPr>
  </w:style>
  <w:style w:type="character" w:customStyle="1" w:styleId="1a">
    <w:name w:val="Знак сноски1"/>
    <w:qFormat/>
    <w:rPr>
      <w:vertAlign w:val="superscript"/>
    </w:rPr>
  </w:style>
  <w:style w:type="character" w:customStyle="1" w:styleId="1b">
    <w:name w:val="Тема примечания Знак1"/>
    <w:qFormat/>
    <w:rPr>
      <w:b/>
      <w:color w:val="000000"/>
      <w:sz w:val="20"/>
    </w:rPr>
  </w:style>
  <w:style w:type="character" w:customStyle="1" w:styleId="afd">
    <w:name w:val="Название объекта Знак"/>
    <w:qFormat/>
    <w:rPr>
      <w:rFonts w:ascii="PT Sans" w:hAnsi="PT Sans"/>
      <w:i/>
      <w:color w:val="000000"/>
      <w:sz w:val="24"/>
    </w:rPr>
  </w:style>
  <w:style w:type="character" w:customStyle="1" w:styleId="1c">
    <w:name w:val="Текст примечания Знак1"/>
    <w:qFormat/>
    <w:rPr>
      <w:color w:val="000000"/>
      <w:sz w:val="20"/>
    </w:rPr>
  </w:style>
  <w:style w:type="character" w:customStyle="1" w:styleId="afe">
    <w:name w:val="адресат"/>
    <w:qFormat/>
    <w:rPr>
      <w:rFonts w:ascii="Times New Roman" w:hAnsi="Times New Roman"/>
      <w:color w:val="000000"/>
      <w:sz w:val="24"/>
    </w:rPr>
  </w:style>
  <w:style w:type="character" w:customStyle="1" w:styleId="aff">
    <w:name w:val="Колонтитул_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19"/>
      <w:u w:val="none"/>
    </w:rPr>
  </w:style>
  <w:style w:type="character" w:customStyle="1" w:styleId="Default">
    <w:name w:val="Default"/>
    <w:qFormat/>
    <w:rPr>
      <w:rFonts w:ascii="Times New Roman" w:hAnsi="Times New Roman"/>
      <w:color w:val="000000"/>
      <w:sz w:val="24"/>
    </w:rPr>
  </w:style>
  <w:style w:type="character" w:customStyle="1" w:styleId="81">
    <w:name w:val="Заголовок 8 Знак"/>
    <w:qFormat/>
    <w:rPr>
      <w:rFonts w:ascii="Arial" w:hAnsi="Arial"/>
      <w:i/>
      <w:color w:val="000000"/>
      <w:sz w:val="22"/>
    </w:rPr>
  </w:style>
  <w:style w:type="character" w:customStyle="1" w:styleId="25">
    <w:name w:val="Основной текст (2)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FF0000"/>
      <w:spacing w:val="0"/>
      <w:sz w:val="28"/>
      <w:u w:val="none"/>
    </w:rPr>
  </w:style>
  <w:style w:type="character" w:customStyle="1" w:styleId="IntenseQuoteChar">
    <w:name w:val="Intense Quote Char"/>
    <w:qFormat/>
    <w:rPr>
      <w:i/>
    </w:rPr>
  </w:style>
  <w:style w:type="character" w:customStyle="1" w:styleId="Heading7Char">
    <w:name w:val="Heading 7 Char"/>
    <w:qFormat/>
    <w:rPr>
      <w:rFonts w:ascii="Arial" w:hAnsi="Arial"/>
      <w:b/>
      <w:i/>
      <w:sz w:val="22"/>
    </w:rPr>
  </w:style>
  <w:style w:type="character" w:customStyle="1" w:styleId="Heading6Char">
    <w:name w:val="Heading 6 Char"/>
    <w:qFormat/>
    <w:rPr>
      <w:rFonts w:ascii="Arial" w:hAnsi="Arial"/>
      <w:b/>
      <w:sz w:val="22"/>
    </w:rPr>
  </w:style>
  <w:style w:type="character" w:customStyle="1" w:styleId="western">
    <w:name w:val="western"/>
    <w:qFormat/>
    <w:rPr>
      <w:rFonts w:ascii="Times New Roman" w:hAnsi="Times New Roman"/>
      <w:color w:val="000000"/>
      <w:sz w:val="24"/>
    </w:rPr>
  </w:style>
  <w:style w:type="character" w:customStyle="1" w:styleId="1d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0">
    <w:name w:val="Обычный (веб) Знак"/>
    <w:qFormat/>
    <w:rPr>
      <w:rFonts w:ascii="Times New Roman" w:hAnsi="Times New Roman"/>
      <w:color w:val="000000"/>
      <w:sz w:val="24"/>
    </w:rPr>
  </w:style>
  <w:style w:type="character" w:customStyle="1" w:styleId="Heading8Char">
    <w:name w:val="Heading 8 Char"/>
    <w:qFormat/>
    <w:rPr>
      <w:rFonts w:ascii="Arial" w:hAnsi="Arial"/>
      <w:i/>
      <w:sz w:val="22"/>
    </w:rPr>
  </w:style>
  <w:style w:type="character" w:customStyle="1" w:styleId="FooterChar">
    <w:name w:val="Footer Char"/>
    <w:qFormat/>
  </w:style>
  <w:style w:type="character" w:customStyle="1" w:styleId="Heading4Char">
    <w:name w:val="Heading 4 Char"/>
    <w:qFormat/>
    <w:rPr>
      <w:rFonts w:ascii="Arial" w:hAnsi="Arial"/>
      <w:b/>
      <w:sz w:val="26"/>
    </w:rPr>
  </w:style>
  <w:style w:type="character" w:customStyle="1" w:styleId="1e">
    <w:name w:val="Заголовок1"/>
    <w:qFormat/>
    <w:rPr>
      <w:rFonts w:ascii="PT Sans" w:hAnsi="PT Sans"/>
      <w:color w:val="000000"/>
      <w:sz w:val="28"/>
    </w:rPr>
  </w:style>
  <w:style w:type="character" w:customStyle="1" w:styleId="QuoteChar">
    <w:name w:val="Quote Char"/>
    <w:qFormat/>
    <w:rPr>
      <w:i/>
    </w:rPr>
  </w:style>
  <w:style w:type="character" w:customStyle="1" w:styleId="Heading3Char">
    <w:name w:val="Heading 3 Char"/>
    <w:qFormat/>
    <w:rPr>
      <w:rFonts w:ascii="Arial" w:hAnsi="Arial"/>
      <w:sz w:val="30"/>
    </w:rPr>
  </w:style>
  <w:style w:type="character" w:customStyle="1" w:styleId="HeaderChar">
    <w:name w:val="Header Char"/>
    <w:qFormat/>
  </w:style>
  <w:style w:type="character" w:customStyle="1" w:styleId="aff1">
    <w:name w:val="Указатель Знак"/>
    <w:qFormat/>
    <w:rPr>
      <w:rFonts w:ascii="PT Sans" w:hAnsi="PT Sans"/>
      <w:color w:val="000000"/>
      <w:sz w:val="24"/>
    </w:rPr>
  </w:style>
  <w:style w:type="character" w:customStyle="1" w:styleId="210">
    <w:name w:val="Основной текст (2)1"/>
    <w:qFormat/>
    <w:rPr>
      <w:rFonts w:ascii="Times New Roman" w:hAnsi="Times New Roman"/>
      <w:color w:val="000000"/>
      <w:sz w:val="28"/>
    </w:rPr>
  </w:style>
  <w:style w:type="character" w:customStyle="1" w:styleId="1f">
    <w:name w:val="Знак концевой сноски1"/>
    <w:qFormat/>
    <w:rPr>
      <w:vertAlign w:val="superscript"/>
    </w:rPr>
  </w:style>
  <w:style w:type="character" w:customStyle="1" w:styleId="Bodytext2">
    <w:name w:val="Body text|2_"/>
    <w:qFormat/>
    <w:rPr>
      <w:sz w:val="30"/>
    </w:rPr>
  </w:style>
  <w:style w:type="character" w:customStyle="1" w:styleId="aff2">
    <w:name w:val="Список Знак"/>
    <w:qFormat/>
    <w:rPr>
      <w:rFonts w:ascii="PT Sans" w:hAnsi="PT Sans"/>
      <w:color w:val="000000"/>
      <w:sz w:val="24"/>
    </w:rPr>
  </w:style>
  <w:style w:type="character" w:customStyle="1" w:styleId="Heading5Char">
    <w:name w:val="Heading 5 Char"/>
    <w:qFormat/>
    <w:rPr>
      <w:rFonts w:ascii="Arial" w:hAnsi="Arial"/>
      <w:b/>
      <w:sz w:val="24"/>
    </w:rPr>
  </w:style>
  <w:style w:type="character" w:customStyle="1" w:styleId="1f0">
    <w:name w:val="Колонтитул1"/>
    <w:qFormat/>
    <w:rPr>
      <w:rFonts w:ascii="Times New Roman" w:hAnsi="Times New Roman"/>
      <w:color w:val="000000"/>
      <w:sz w:val="19"/>
    </w:rPr>
  </w:style>
  <w:style w:type="character" w:customStyle="1" w:styleId="aff3">
    <w:name w:val="Колонтитул"/>
    <w:basedOn w:val="aff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19"/>
      <w:u w:val="none"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Heading2Char">
    <w:name w:val="Heading 2 Char"/>
    <w:qFormat/>
    <w:rPr>
      <w:rFonts w:ascii="Arial" w:hAnsi="Arial"/>
      <w:sz w:val="34"/>
    </w:rPr>
  </w:style>
  <w:style w:type="character" w:customStyle="1" w:styleId="1f1">
    <w:name w:val="Текст выноски Знак1"/>
    <w:qFormat/>
    <w:rPr>
      <w:rFonts w:ascii="Arial" w:hAnsi="Arial"/>
      <w:color w:val="000000"/>
      <w:sz w:val="18"/>
    </w:rPr>
  </w:style>
  <w:style w:type="character" w:customStyle="1" w:styleId="Heading9Char">
    <w:name w:val="Heading 9 Char"/>
    <w:qFormat/>
    <w:rPr>
      <w:rFonts w:ascii="Arial" w:hAnsi="Arial"/>
      <w:i/>
      <w:sz w:val="21"/>
    </w:rPr>
  </w:style>
  <w:style w:type="character" w:customStyle="1" w:styleId="Heading1Char">
    <w:name w:val="Heading 1 Char"/>
    <w:qFormat/>
    <w:rPr>
      <w:rFonts w:ascii="Arial" w:hAnsi="Arial"/>
      <w:sz w:val="40"/>
    </w:rPr>
  </w:style>
  <w:style w:type="character" w:customStyle="1" w:styleId="aff4">
    <w:name w:val="Верхний и нижний колонтитулы"/>
    <w:qFormat/>
    <w:rPr>
      <w:color w:val="000000"/>
      <w:sz w:val="24"/>
    </w:rPr>
  </w:style>
  <w:style w:type="character" w:customStyle="1" w:styleId="91">
    <w:name w:val="Заголовок 9 Знак"/>
    <w:qFormat/>
    <w:rPr>
      <w:rFonts w:ascii="Arial" w:hAnsi="Arial"/>
      <w:i/>
      <w:color w:val="000000"/>
      <w:sz w:val="21"/>
    </w:rPr>
  </w:style>
  <w:style w:type="character" w:customStyle="1" w:styleId="1f2">
    <w:name w:val="Верхний колонтитул Знак1"/>
    <w:qFormat/>
    <w:rPr>
      <w:color w:val="000000"/>
      <w:sz w:val="24"/>
    </w:rPr>
  </w:style>
  <w:style w:type="character" w:customStyle="1" w:styleId="Endnote">
    <w:name w:val="Endnote"/>
    <w:qFormat/>
    <w:rPr>
      <w:color w:val="000000"/>
      <w:sz w:val="20"/>
    </w:rPr>
  </w:style>
  <w:style w:type="character" w:customStyle="1" w:styleId="aff5">
    <w:name w:val="Рецензия Знак"/>
    <w:qFormat/>
    <w:rPr>
      <w:color w:val="000000"/>
      <w:sz w:val="24"/>
    </w:rPr>
  </w:style>
  <w:style w:type="character" w:customStyle="1" w:styleId="aff6">
    <w:name w:val="Перечень рисунков Знак"/>
    <w:qFormat/>
    <w:rPr>
      <w:color w:val="000000"/>
      <w:sz w:val="24"/>
    </w:rPr>
  </w:style>
  <w:style w:type="character" w:customStyle="1" w:styleId="26">
    <w:name w:val="Основной текст (2)_"/>
    <w:qFormat/>
    <w:rPr>
      <w:rFonts w:ascii="Times New Roman" w:hAnsi="Times New Roman"/>
      <w:b w:val="0"/>
      <w:i w:val="0"/>
      <w:caps w:val="0"/>
      <w:smallCaps w:val="0"/>
      <w:strike w:val="0"/>
      <w:dstrike w:val="0"/>
      <w:sz w:val="28"/>
      <w:u w:val="none"/>
    </w:rPr>
  </w:style>
  <w:style w:type="character" w:customStyle="1" w:styleId="w3-n">
    <w:name w:val="w3-n"/>
    <w:qFormat/>
    <w:rPr>
      <w:rFonts w:ascii="Times New Roman" w:hAnsi="Times New Roman"/>
      <w:color w:val="000000"/>
      <w:sz w:val="24"/>
    </w:rPr>
  </w:style>
  <w:style w:type="character" w:customStyle="1" w:styleId="71">
    <w:name w:val="Заголовок 7 Знак"/>
    <w:qFormat/>
    <w:rPr>
      <w:rFonts w:ascii="Arial" w:hAnsi="Arial"/>
      <w:b/>
      <w:i/>
      <w:color w:val="000000"/>
      <w:sz w:val="22"/>
    </w:rPr>
  </w:style>
  <w:style w:type="character" w:customStyle="1" w:styleId="Bodytext21">
    <w:name w:val="Body text|21"/>
    <w:qFormat/>
    <w:rPr>
      <w:color w:val="000000"/>
      <w:sz w:val="30"/>
    </w:rPr>
  </w:style>
  <w:style w:type="character" w:customStyle="1" w:styleId="EndnoteTextChar">
    <w:name w:val="Endnote Text Char"/>
    <w:qFormat/>
    <w:rPr>
      <w:sz w:val="20"/>
    </w:rPr>
  </w:style>
  <w:style w:type="character" w:styleId="aff7">
    <w:name w:val="FollowedHyperlink"/>
    <w:rPr>
      <w:color w:val="800000"/>
      <w:u w:val="single"/>
    </w:rPr>
  </w:style>
  <w:style w:type="paragraph" w:styleId="af5">
    <w:name w:val="Title"/>
    <w:next w:val="a4"/>
    <w:link w:val="af4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4">
    <w:name w:val="Body Text"/>
    <w:basedOn w:val="a"/>
    <w:link w:val="a3"/>
    <w:pPr>
      <w:widowControl w:val="0"/>
      <w:spacing w:line="240" w:lineRule="auto"/>
      <w:ind w:left="102" w:firstLine="0"/>
      <w:jc w:val="both"/>
    </w:pPr>
    <w:rPr>
      <w:sz w:val="26"/>
    </w:rPr>
  </w:style>
  <w:style w:type="paragraph" w:styleId="aff8">
    <w:name w:val="List"/>
    <w:basedOn w:val="a4"/>
    <w:rPr>
      <w:rFonts w:ascii="PT Astra Serif" w:hAnsi="PT Astra Serif" w:cs="FreeSans"/>
    </w:rPr>
  </w:style>
  <w:style w:type="paragraph" w:styleId="aff9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fa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111">
    <w:name w:val="Строгий11"/>
    <w:basedOn w:val="115"/>
    <w:link w:val="12"/>
    <w:qFormat/>
    <w:rPr>
      <w:b/>
    </w:rPr>
  </w:style>
  <w:style w:type="paragraph" w:styleId="22">
    <w:name w:val="toc 2"/>
    <w:next w:val="a"/>
    <w:link w:val="21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0">
    <w:name w:val="toc 6"/>
    <w:next w:val="a"/>
    <w:link w:val="6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12">
    <w:name w:val="Знак примечания11"/>
    <w:basedOn w:val="115"/>
    <w:link w:val="14"/>
    <w:qFormat/>
    <w:rPr>
      <w:sz w:val="16"/>
    </w:rPr>
  </w:style>
  <w:style w:type="paragraph" w:customStyle="1" w:styleId="113">
    <w:name w:val="Неразрешенное упоминание11"/>
    <w:basedOn w:val="115"/>
    <w:link w:val="23"/>
    <w:qFormat/>
    <w:rPr>
      <w:color w:val="605E5C"/>
      <w:shd w:val="clear" w:color="auto" w:fill="E1DFDD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Times New Roman" w:hAnsi="Times New Roman"/>
      <w:b/>
      <w:sz w:val="28"/>
    </w:rPr>
  </w:style>
  <w:style w:type="paragraph" w:styleId="32">
    <w:name w:val="toc 3"/>
    <w:next w:val="a"/>
    <w:link w:val="31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14">
    <w:name w:val="Гиперссылка11"/>
    <w:basedOn w:val="115"/>
    <w:link w:val="17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customStyle="1" w:styleId="HeaderandFooter1">
    <w:name w:val="Header and Footer1"/>
    <w:link w:val="HeaderandFooter"/>
    <w:qFormat/>
    <w:pPr>
      <w:spacing w:after="200"/>
      <w:jc w:val="both"/>
    </w:pPr>
    <w:rPr>
      <w:rFonts w:ascii="XO Thames" w:hAnsi="XO Thames"/>
      <w:sz w:val="20"/>
    </w:rPr>
  </w:style>
  <w:style w:type="paragraph" w:styleId="a7">
    <w:name w:val="header"/>
    <w:basedOn w:val="a"/>
    <w:link w:val="a6"/>
    <w:pPr>
      <w:tabs>
        <w:tab w:val="center" w:pos="4677"/>
        <w:tab w:val="right" w:pos="9355"/>
      </w:tabs>
      <w:spacing w:line="240" w:lineRule="auto"/>
    </w:pPr>
  </w:style>
  <w:style w:type="paragraph" w:styleId="16">
    <w:name w:val="toc 1"/>
    <w:next w:val="a"/>
    <w:link w:val="15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styleId="aa">
    <w:name w:val="annotation subject"/>
    <w:basedOn w:val="ab"/>
    <w:next w:val="ab"/>
    <w:link w:val="a8"/>
    <w:qFormat/>
    <w:rPr>
      <w:b/>
    </w:rPr>
  </w:style>
  <w:style w:type="paragraph" w:styleId="ab">
    <w:name w:val="annotation text"/>
    <w:basedOn w:val="a"/>
    <w:link w:val="a9"/>
    <w:pPr>
      <w:spacing w:line="240" w:lineRule="auto"/>
    </w:pPr>
    <w:rPr>
      <w:sz w:val="20"/>
    </w:rPr>
  </w:style>
  <w:style w:type="paragraph" w:styleId="ad">
    <w:name w:val="List Paragraph"/>
    <w:basedOn w:val="a"/>
    <w:link w:val="ac"/>
    <w:qFormat/>
    <w:pPr>
      <w:ind w:left="720" w:firstLine="0"/>
      <w:contextualSpacing/>
    </w:pPr>
  </w:style>
  <w:style w:type="paragraph" w:styleId="90">
    <w:name w:val="toc 9"/>
    <w:next w:val="a"/>
    <w:link w:val="9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af">
    <w:name w:val="No Spacing"/>
    <w:link w:val="ae"/>
    <w:qFormat/>
    <w:pPr>
      <w:ind w:firstLine="720"/>
    </w:pPr>
    <w:rPr>
      <w:rFonts w:ascii="Times New Roman" w:hAnsi="Times New Roman"/>
      <w:sz w:val="28"/>
    </w:rPr>
  </w:style>
  <w:style w:type="paragraph" w:customStyle="1" w:styleId="Standard1">
    <w:name w:val="Standard1"/>
    <w:link w:val="Standard"/>
    <w:qFormat/>
    <w:pPr>
      <w:jc w:val="center"/>
    </w:pPr>
    <w:rPr>
      <w:rFonts w:ascii="PT Astra Serif" w:hAnsi="PT Astra Serif"/>
      <w:sz w:val="28"/>
    </w:rPr>
  </w:style>
  <w:style w:type="paragraph" w:customStyle="1" w:styleId="115">
    <w:name w:val="Основной шрифт абзаца11"/>
    <w:link w:val="13"/>
    <w:qFormat/>
    <w:pPr>
      <w:spacing w:after="200" w:line="276" w:lineRule="auto"/>
    </w:pPr>
  </w:style>
  <w:style w:type="paragraph" w:styleId="80">
    <w:name w:val="toc 8"/>
    <w:next w:val="a"/>
    <w:link w:val="8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af1">
    <w:name w:val="Balloon Text"/>
    <w:basedOn w:val="a"/>
    <w:link w:val="af0"/>
    <w:qFormat/>
    <w:pPr>
      <w:spacing w:line="240" w:lineRule="auto"/>
    </w:pPr>
    <w:rPr>
      <w:rFonts w:ascii="Tahoma" w:hAnsi="Tahoma"/>
      <w:sz w:val="16"/>
    </w:rPr>
  </w:style>
  <w:style w:type="paragraph" w:styleId="52">
    <w:name w:val="toc 5"/>
    <w:next w:val="a"/>
    <w:link w:val="51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f3">
    <w:name w:val="Subtitle"/>
    <w:next w:val="a"/>
    <w:link w:val="af2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customStyle="1" w:styleId="110">
    <w:name w:val="Обычный11"/>
    <w:link w:val="1"/>
    <w:qFormat/>
    <w:pPr>
      <w:spacing w:after="200" w:line="276" w:lineRule="auto"/>
    </w:pPr>
    <w:rPr>
      <w:rFonts w:ascii="Times New Roman" w:hAnsi="Times New Roman"/>
      <w:sz w:val="28"/>
    </w:rPr>
  </w:style>
  <w:style w:type="paragraph" w:styleId="af7">
    <w:name w:val="footer"/>
    <w:basedOn w:val="a"/>
    <w:link w:val="af6"/>
    <w:pPr>
      <w:tabs>
        <w:tab w:val="center" w:pos="4677"/>
        <w:tab w:val="right" w:pos="9355"/>
      </w:tabs>
      <w:spacing w:line="240" w:lineRule="auto"/>
    </w:pPr>
  </w:style>
  <w:style w:type="paragraph" w:styleId="af8">
    <w:name w:val="Normal (Web)"/>
    <w:basedOn w:val="a"/>
    <w:link w:val="18"/>
    <w:qFormat/>
    <w:pPr>
      <w:spacing w:beforeAutospacing="1" w:afterAutospacing="1" w:line="240" w:lineRule="auto"/>
      <w:ind w:firstLine="0"/>
    </w:pPr>
    <w:rPr>
      <w:sz w:val="24"/>
    </w:rPr>
  </w:style>
  <w:style w:type="paragraph" w:styleId="affb">
    <w:name w:val="Revision"/>
    <w:uiPriority w:val="99"/>
    <w:semiHidden/>
    <w:qFormat/>
    <w:rsid w:val="00FF1B57"/>
    <w:rPr>
      <w:rFonts w:ascii="Times New Roman" w:hAnsi="Times New Roman"/>
      <w:sz w:val="28"/>
    </w:rPr>
  </w:style>
  <w:style w:type="paragraph" w:customStyle="1" w:styleId="affc">
    <w:name w:val="Содержимое врезки"/>
    <w:basedOn w:val="a"/>
    <w:qFormat/>
  </w:style>
  <w:style w:type="paragraph" w:customStyle="1" w:styleId="affd">
    <w:name w:val="Содержимое таблицы"/>
    <w:basedOn w:val="a"/>
    <w:qFormat/>
    <w:pPr>
      <w:widowControl w:val="0"/>
      <w:suppressLineNumbers/>
    </w:p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numbering" w:customStyle="1" w:styleId="afff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7;&#1072;.&#1076;&#1085;&#1088;&#1086;&#1085;&#1083;&#1072;&#1081;&#1085;.&#1088;&#1092;/2026-09-02/319-rz-o-vnesenii-izmenenij-v-zakon-donetskoj-narodnoj-respubliki-ob-utverzhdenii-prognoznogo-plana-programmy-privatizatsii-imushhestva-nahodyashhegosya-v-sobstvennosti-donetskoj-narodnoj-respubliki-n.html" TargetMode="External"/><Relationship Id="rId13" Type="http://schemas.openxmlformats.org/officeDocument/2006/relationships/hyperlink" Target="https://docs.cntd.ru/document/901961834?ysclid=mvb2mxt7jn663084577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&#1085;&#1087;&#1072;.&#1076;&#1085;&#1088;&#1086;&#1085;&#1083;&#1072;&#1081;&#1085;.&#1088;&#1092;/2026-09-02/319-rz-o-vnesenii-izmenenij-v-zakon-donetskoj-narodnoj-respubliki-ob-utverzhdenii-prognoznogo-plana-programmy-privatizatsii-imushhestva-nahodyashhegosya-v-sobstvennosti-donetskoj-narodnoj-respubliki-n.html" TargetMode="External"/><Relationship Id="rId12" Type="http://schemas.openxmlformats.org/officeDocument/2006/relationships/hyperlink" Target="https://&#1085;&#1087;&#1072;.&#1076;&#1085;&#1088;&#1086;&#1085;&#1083;&#1072;&#1081;&#1085;.&#1088;&#1092;/2025-04-24/187-rz-o-poryadke-i-usloviyah-privatizatsii-imushhestva-nahodyashhegosya-v-sobstvennosti-donetskoj-narodnoj-respubliki.html" TargetMode="External"/><Relationship Id="rId17" Type="http://schemas.openxmlformats.org/officeDocument/2006/relationships/hyperlink" Target="https://&#1085;&#1087;&#1072;.&#1076;&#1085;&#1088;&#1086;&#1085;&#1083;&#1072;&#1081;&#1085;.&#1088;&#1092;/2026-09-02/319-rz-o-vnesenii-izmenenij-v-zakon-donetskoj-narodnoj-respubliki-ob-utverzhdenii-prognoznogo-plana-programmy-privatizatsii-imushhestva-nahodyashhegosya-v-sobstvennosti-donetskoj-narodnoj-respubliki-n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kremlin.ru/acts/bank/17652?ysclid=mvb2qxgjdg613121314" TargetMode="Externa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&#1085;&#1087;&#1072;.&#1076;&#1085;&#1088;&#1086;&#1085;&#1083;&#1072;&#1081;&#1085;.&#1088;&#1092;/2023-10-13/14-rz-o-poryadke-upravleniya-i-rasporyazheniya-sobstvennostyu-donetskoj-narodnoj-respubliki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&#1085;&#1087;&#1072;.&#1076;&#1085;&#1088;&#1086;&#1085;&#1083;&#1072;&#1081;&#1085;.&#1088;&#1092;/2026-09-02/319-rz-o-vnesenii-izmenenij-v-zakon-donetskoj-narodnoj-respubliki-ob-utverzhdenii-prognoznogo-plana-programmy-privatizatsii-imushhestva-nahodyashhegosya-v-sobstvennosti-donetskoj-narodnoj-respubliki-n.html" TargetMode="External"/><Relationship Id="rId10" Type="http://schemas.openxmlformats.org/officeDocument/2006/relationships/hyperlink" Target="http://www.kremlin.ru/acts/bank/17652?ysclid=mvb2qxgjdg613121314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&#1085;&#1087;&#1072;.&#1076;&#1085;&#1088;&#1086;&#1085;&#1083;&#1072;&#1081;&#1085;.&#1088;&#1092;/2026-09-02/319-rz-o-vnesenii-izmenenij-v-zakon-donetskoj-narodnoj-respubliki-ob-utverzhdenii-prognoznogo-plana-programmy-privatizatsii-imushhestva-nahodyashhegosya-v-sobstvennosti-donetskoj-narodnoj-respubliki-n.html" TargetMode="External"/><Relationship Id="rId14" Type="http://schemas.openxmlformats.org/officeDocument/2006/relationships/hyperlink" Target="https://pravdnr.ru/npa/postanovlenie-pravitelstva-doneczkoj-narodnoj-respubliki-ot-24-iyulya-2025-g-%e2%84%96-71-1-ob-utverzhdenii-poryadka-razrabotki-planirovaniya-prognoznogo-plana-programmy-privatizaczii-imush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296</Pages>
  <Words>42548</Words>
  <Characters>242528</Characters>
  <Application>Microsoft Office Word</Application>
  <DocSecurity>0</DocSecurity>
  <Lines>2021</Lines>
  <Paragraphs>569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5</cp:revision>
  <cp:lastPrinted>2025-12-26T10:55:00Z</cp:lastPrinted>
  <dcterms:created xsi:type="dcterms:W3CDTF">2026-10-16T12:54:00Z</dcterms:created>
  <dcterms:modified xsi:type="dcterms:W3CDTF">2026-10-21T13:51:00Z</dcterms:modified>
  <dc:language>ru-RU</dc:language>
</cp:coreProperties>
</file>