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57"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706" w:left="1648" w:right="512" w:bottom="6064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возложении временного исполнения обязанностей</w:t>
        <w:br/>
        <w:t>министра имущественных и земельных отношений</w:t>
        <w:br/>
        <w:t>Донецкой Народной Республики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8" w:val="left"/>
        </w:tabs>
        <w:bidi w:val="0"/>
        <w:spacing w:before="0" w:after="24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Возложить временное исполнение обязанностей министра имущественных и земельных отношений Донецкой Народной Республики на Жмурину Виолетту Вадимовну - заместителя министра имущественных и земельных отношений Донецкой Народной Республики с 24 сентября 2026 г.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07" w:val="left"/>
        </w:tabs>
        <w:bidi w:val="0"/>
        <w:spacing w:before="0" w:after="620" w:line="240" w:lineRule="auto"/>
        <w:ind w:left="0" w:right="0" w:firstLine="720"/>
        <w:jc w:val="both"/>
      </w:pPr>
      <w:r>
        <mc:AlternateContent>
          <mc:Choice Requires="wps">
            <w:drawing>
              <wp:anchor distT="405130" distB="871855" distL="2223770" distR="114300" simplePos="0" relativeHeight="125829378" behindDoc="0" locked="0" layoutInCell="1" allowOverlap="1">
                <wp:simplePos x="0" y="0"/>
                <wp:positionH relativeFrom="page">
                  <wp:posOffset>6039485</wp:posOffset>
                </wp:positionH>
                <wp:positionV relativeFrom="paragraph">
                  <wp:posOffset>811530</wp:posOffset>
                </wp:positionV>
                <wp:extent cx="1155065" cy="23177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55065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5.55000000000001pt;margin-top:63.899999999999999pt;width:90.950000000000003pt;height:18.25pt;z-index:-125829375;mso-wrap-distance-left:175.09999999999999pt;mso-wrap-distance-top:31.899999999999999pt;mso-wrap-distance-right:9.pt;mso-wrap-distance-bottom:68.650000000000006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Настоящий Указ вступает в силу со дня его подписания.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9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Донецкой Народной Республики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г. Донецк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23 сентября 2026 года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706" w:left="1648" w:right="512" w:bottom="6164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spacing w:after="36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50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