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0EDE5" w14:textId="77777777" w:rsidR="00877A17" w:rsidRPr="00877A17" w:rsidRDefault="00877A17" w:rsidP="00877A17">
      <w:pPr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r w:rsidRPr="00877A17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50B3D6FC" wp14:editId="1E4B69E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1641" w14:textId="77777777" w:rsidR="00877A17" w:rsidRPr="00877A17" w:rsidRDefault="00877A17" w:rsidP="00877A17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877A17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FF96799" w14:textId="77777777" w:rsidR="00877A17" w:rsidRPr="00877A17" w:rsidRDefault="00877A17" w:rsidP="00877A17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877A17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877A17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5E0823F6" w14:textId="77777777" w:rsidR="00877A17" w:rsidRPr="00877A17" w:rsidRDefault="00877A17" w:rsidP="00877A17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79586F54" w14:textId="77777777" w:rsidR="00877A17" w:rsidRPr="00877A17" w:rsidRDefault="00877A17" w:rsidP="00877A17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0D22D3D4" w14:textId="23D914A9" w:rsidR="00803C87" w:rsidRDefault="00196551" w:rsidP="0048221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СТАТЬИ 13 И 21 ЗАКОНА ДОНЕЦКОЙ НАРОДНОЙ РЕСПУБЛИКИ «ОБ ИНВЕСТИЦИОННОЙ ПОЛИТИКЕ </w:t>
      </w:r>
      <w:r w:rsidR="00321D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ГОСУДАРСТВЕННОЙ ПОДДЕРЖКЕ ИНВЕСТИЦИОННОЙ ДЕЯТЕЛЬНОСТИ В ДОНЕЦКОЙ НАРОДНОЙ РЕСПУБЛИКЕ»</w:t>
      </w:r>
    </w:p>
    <w:p w14:paraId="569D9934" w14:textId="77777777" w:rsidR="00877A17" w:rsidRPr="00877A17" w:rsidRDefault="00877A17" w:rsidP="00877A17">
      <w:pPr>
        <w:widowControl/>
        <w:suppressAutoHyphens w:val="0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770B360E" w14:textId="77777777" w:rsidR="00877A17" w:rsidRPr="00877A17" w:rsidRDefault="00877A17" w:rsidP="00877A17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0425B2F2" w14:textId="64A2AB4E" w:rsidR="00877A17" w:rsidRPr="00877A17" w:rsidRDefault="00877A17" w:rsidP="00877A17">
      <w:pPr>
        <w:suppressAutoHyphens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877A17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0" w:name="_Hlk170374149"/>
      <w:r w:rsidRPr="00877A17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1</w:t>
      </w:r>
      <w:r w:rsidRPr="00877A17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1 августа 2025 года</w:t>
      </w:r>
      <w:bookmarkEnd w:id="0"/>
    </w:p>
    <w:p w14:paraId="354EAB22" w14:textId="77777777" w:rsidR="00877A17" w:rsidRPr="00877A17" w:rsidRDefault="00877A17" w:rsidP="00877A17">
      <w:pPr>
        <w:widowControl/>
        <w:suppressAutoHyphens w:val="0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2607FA31" w14:textId="77777777" w:rsidR="00877A17" w:rsidRPr="00877A17" w:rsidRDefault="00877A17" w:rsidP="00877A17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bidi="ar-SA"/>
        </w:rPr>
      </w:pPr>
    </w:p>
    <w:p w14:paraId="69647070" w14:textId="77777777" w:rsidR="0096513E" w:rsidRDefault="00196551" w:rsidP="0096513E">
      <w:pPr>
        <w:pStyle w:val="11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Статья 1</w:t>
      </w:r>
    </w:p>
    <w:p w14:paraId="3A84214E" w14:textId="479B8851" w:rsidR="0096513E" w:rsidRDefault="00196551" w:rsidP="007C7057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Внести в </w:t>
      </w:r>
      <w:hyperlink r:id="rId7" w:history="1">
        <w:r w:rsidRPr="00AA5DBB">
          <w:rPr>
            <w:rStyle w:val="af1"/>
          </w:rPr>
          <w:t>Закон Донецкой Народной Республики от 17 мая 2023 года                           № 444-IIНС «Об инвестиционной политике и государственной поддержке инвестиционной деятельности в Донецкой Народной Республике»</w:t>
        </w:r>
      </w:hyperlink>
      <w:r>
        <w:rPr>
          <w:color w:val="auto"/>
        </w:rPr>
        <w:t xml:space="preserve"> (опубликован на официальном сайте Главы Донецкой Народной Республики 17 мая 2023 года) следующие изменения:</w:t>
      </w:r>
    </w:p>
    <w:p w14:paraId="7161ABAF" w14:textId="5EAED33B" w:rsidR="00C77679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1) </w:t>
      </w:r>
      <w:r w:rsidR="00C77679">
        <w:rPr>
          <w:color w:val="auto"/>
        </w:rPr>
        <w:t>в части 2 статьи 13:</w:t>
      </w:r>
    </w:p>
    <w:p w14:paraId="5587442D" w14:textId="09D656FA" w:rsidR="0096513E" w:rsidRDefault="00C77679" w:rsidP="00C77679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а) </w:t>
      </w:r>
      <w:r w:rsidR="00196551">
        <w:rPr>
          <w:color w:val="auto"/>
        </w:rPr>
        <w:t>пункт 1 изложить в следующей редакции:</w:t>
      </w:r>
    </w:p>
    <w:p w14:paraId="0F79E05B" w14:textId="63CF95D8" w:rsidR="007C7057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«1) реализация масштабного инвестиционного проекта соответствует задачам и целям, определенным документами стратегического планирования развития Донецкой Народной Республики, государственными программами Российской Федерации или государственными программами Донецкой Народной Республики, или муниципальными программами, и предполагает общий объем капитальных вложений в сумме: </w:t>
      </w:r>
    </w:p>
    <w:p w14:paraId="3048CBA0" w14:textId="6AACD64D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а) не менее 100 миллионов рублей (за исключением реализации инвестиционных проектов в сфере развития туризма и </w:t>
      </w:r>
      <w:r w:rsidR="00C77679">
        <w:rPr>
          <w:color w:val="auto"/>
        </w:rPr>
        <w:t>туристской</w:t>
      </w:r>
      <w:r>
        <w:rPr>
          <w:color w:val="auto"/>
        </w:rPr>
        <w:t xml:space="preserve"> инфраструктуры); </w:t>
      </w:r>
    </w:p>
    <w:p w14:paraId="7430DFC1" w14:textId="302009F9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б) не менее 50 миллионов рублей для реализации инвестиционных проектов в сфере развития туризма и </w:t>
      </w:r>
      <w:r w:rsidR="00C77679">
        <w:rPr>
          <w:color w:val="auto"/>
        </w:rPr>
        <w:t xml:space="preserve">туристской </w:t>
      </w:r>
      <w:r>
        <w:rPr>
          <w:color w:val="auto"/>
        </w:rPr>
        <w:t>инфраструктуры;</w:t>
      </w:r>
    </w:p>
    <w:p w14:paraId="5A79A26E" w14:textId="77777777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в) не менее 1 миллиона рублей для лиц, намеревающихся реализовать инвестиционный проект в области разработки компьютерных технологий и создания программного обеспечения, оказания консультационных услуг в указанной области и других сопутствующих услуг, в области информационных технологий, научных исследований и разработок;»;</w:t>
      </w:r>
    </w:p>
    <w:p w14:paraId="433443E6" w14:textId="34FED11B" w:rsidR="0096513E" w:rsidRDefault="00E66823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б</w:t>
      </w:r>
      <w:r w:rsidR="00196551" w:rsidRPr="00E66823">
        <w:rPr>
          <w:color w:val="auto"/>
        </w:rPr>
        <w:t>) пункт 2 изложить в следующей редакции:</w:t>
      </w:r>
    </w:p>
    <w:p w14:paraId="15E09E73" w14:textId="7BD75AA8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«2) реализация масштабного инвестиционного проекта предполагает строительство объектов бытового обслуживания или производственного назначения при условии финансового обеспечения в размере не менее чем </w:t>
      </w:r>
      <w:r w:rsidR="00C77679">
        <w:rPr>
          <w:color w:val="auto"/>
        </w:rPr>
        <w:t xml:space="preserve">                 </w:t>
      </w:r>
      <w:r>
        <w:rPr>
          <w:color w:val="auto"/>
        </w:rPr>
        <w:t xml:space="preserve">на 30 процентов от объема капитальных вложений;»; </w:t>
      </w:r>
    </w:p>
    <w:p w14:paraId="5A3F0331" w14:textId="1E4414DE" w:rsidR="0096513E" w:rsidRDefault="00E66823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в</w:t>
      </w:r>
      <w:r w:rsidR="00196551">
        <w:rPr>
          <w:color w:val="auto"/>
        </w:rPr>
        <w:t>) пункт 4 изложить в следующей редакции:</w:t>
      </w:r>
    </w:p>
    <w:p w14:paraId="03693B04" w14:textId="404243FF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«4) его реализация предполагает строительство и (или) восстановление автозаправочных станций, </w:t>
      </w:r>
      <w:proofErr w:type="spellStart"/>
      <w:r>
        <w:rPr>
          <w:color w:val="auto"/>
        </w:rPr>
        <w:t>электрозаправочных</w:t>
      </w:r>
      <w:proofErr w:type="spellEnd"/>
      <w:r>
        <w:rPr>
          <w:color w:val="auto"/>
        </w:rPr>
        <w:t xml:space="preserve"> станций для зарядки аккумуляторного электротранспорта или стационарных автомобильных газонаполнительных компрессорных станций, обеспечивающих возможность заправки транспортных средств компримированным (сжатым) природным газом (далее </w:t>
      </w:r>
      <w:r w:rsidR="00E66823">
        <w:rPr>
          <w:color w:val="auto"/>
        </w:rPr>
        <w:t>–</w:t>
      </w:r>
      <w:r>
        <w:rPr>
          <w:color w:val="auto"/>
        </w:rPr>
        <w:t xml:space="preserve"> объект заправки), при соблюдении следующих условий в зависимости от видов используемых энергоресурсов станции:</w:t>
      </w:r>
    </w:p>
    <w:p w14:paraId="746332A3" w14:textId="77777777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а) суммарная выходная мощность компрессорного оборудования на верхней границе диапазона входного давления и (или) </w:t>
      </w:r>
      <w:proofErr w:type="spellStart"/>
      <w:r>
        <w:rPr>
          <w:color w:val="auto"/>
        </w:rPr>
        <w:t>регазификационного</w:t>
      </w:r>
      <w:proofErr w:type="spellEnd"/>
      <w:r>
        <w:rPr>
          <w:color w:val="auto"/>
        </w:rPr>
        <w:t xml:space="preserve"> оборудования объекта заправки не менее 500 м</w:t>
      </w:r>
      <w:r>
        <w:rPr>
          <w:color w:val="auto"/>
          <w:vertAlign w:val="superscript"/>
        </w:rPr>
        <w:t>3</w:t>
      </w:r>
      <w:r>
        <w:rPr>
          <w:color w:val="auto"/>
        </w:rPr>
        <w:t>/ч;</w:t>
      </w:r>
    </w:p>
    <w:p w14:paraId="78B1EEBF" w14:textId="7DF4F949" w:rsidR="007C7057" w:rsidRDefault="00196551" w:rsidP="00447912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б) количество постов заправки компримированным природным газом (пистолетов) на объекте заправки не менее 4;</w:t>
      </w:r>
    </w:p>
    <w:p w14:paraId="03A26B2C" w14:textId="14F7923D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в) общий объем блоков аккумуляторов газа на объекте заправки не менее 2000 литров;</w:t>
      </w:r>
    </w:p>
    <w:p w14:paraId="1750E04C" w14:textId="3A0C6666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г) суммарная выходная мощность </w:t>
      </w:r>
      <w:proofErr w:type="spellStart"/>
      <w:r>
        <w:rPr>
          <w:color w:val="auto"/>
        </w:rPr>
        <w:t>электрозарядной</w:t>
      </w:r>
      <w:proofErr w:type="spellEnd"/>
      <w:r>
        <w:rPr>
          <w:color w:val="auto"/>
        </w:rPr>
        <w:t xml:space="preserve"> станции не менее 150 кВт постоянного тока;»</w:t>
      </w:r>
      <w:r w:rsidR="00E66823">
        <w:rPr>
          <w:color w:val="auto"/>
        </w:rPr>
        <w:t>;</w:t>
      </w:r>
    </w:p>
    <w:p w14:paraId="1C4432AC" w14:textId="5028D5CB" w:rsidR="0096513E" w:rsidRDefault="00E66823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lastRenderedPageBreak/>
        <w:t>г</w:t>
      </w:r>
      <w:r w:rsidR="00196551">
        <w:rPr>
          <w:color w:val="auto"/>
        </w:rPr>
        <w:t>) дополнить пунктом 5 следующего содержания:</w:t>
      </w:r>
    </w:p>
    <w:p w14:paraId="12F98790" w14:textId="12D04E1A" w:rsidR="0096513E" w:rsidRDefault="00196551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 xml:space="preserve">«5) реализация масштабного инвестиционного проекта направлена на создание и развитие индустриальных (промышленных) парков, агропромышленных парков, бизнес-парков, технопарков, промышленных технопарков, соответствующих критериям оценки, предусмотренным </w:t>
      </w:r>
      <w:r w:rsidR="00E66823">
        <w:rPr>
          <w:color w:val="auto"/>
        </w:rPr>
        <w:t>п</w:t>
      </w:r>
      <w:r>
        <w:rPr>
          <w:color w:val="auto"/>
        </w:rPr>
        <w:t xml:space="preserve">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приведенными в </w:t>
      </w:r>
      <w:r w:rsidR="00E66823">
        <w:rPr>
          <w:color w:val="auto"/>
        </w:rPr>
        <w:t>п</w:t>
      </w:r>
      <w:r>
        <w:rPr>
          <w:color w:val="auto"/>
        </w:rPr>
        <w:t xml:space="preserve">риложении 48 к государственной программе Российской Федерации «Экономическое развитие и инновационная экономика», утвержденной </w:t>
      </w:r>
      <w:hyperlink r:id="rId8" w:history="1">
        <w:r w:rsidRPr="0094397F">
          <w:rPr>
            <w:rStyle w:val="af1"/>
          </w:rPr>
          <w:t xml:space="preserve">постановлением Правительства Российской Федерации </w:t>
        </w:r>
        <w:r w:rsidR="0059549E" w:rsidRPr="0094397F">
          <w:rPr>
            <w:rStyle w:val="af1"/>
          </w:rPr>
          <w:t xml:space="preserve">                             </w:t>
        </w:r>
        <w:r w:rsidRPr="0094397F">
          <w:rPr>
            <w:rStyle w:val="af1"/>
          </w:rPr>
          <w:t>от 15 апреля 2014 года № 316</w:t>
        </w:r>
      </w:hyperlink>
      <w:r>
        <w:rPr>
          <w:color w:val="auto"/>
        </w:rPr>
        <w:t>.»;</w:t>
      </w:r>
    </w:p>
    <w:p w14:paraId="38B4C6E6" w14:textId="1A3B254F" w:rsidR="0096513E" w:rsidRDefault="00E66823" w:rsidP="0096513E">
      <w:pPr>
        <w:pStyle w:val="11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="00196551">
        <w:rPr>
          <w:color w:val="auto"/>
        </w:rPr>
        <w:t>) в пункте 5 части 1 статьи 21 слова «</w:t>
      </w:r>
      <w:r w:rsidR="00196551">
        <w:rPr>
          <w:rFonts w:eastAsiaTheme="minorHAnsi" w:cstheme="minorBidi"/>
          <w:color w:val="auto"/>
          <w:lang w:eastAsia="en-US" w:bidi="ar-SA"/>
        </w:rPr>
        <w:t xml:space="preserve">автозаправочных </w:t>
      </w:r>
      <w:r w:rsidR="00F1166F">
        <w:rPr>
          <w:rFonts w:eastAsiaTheme="minorHAnsi" w:cstheme="minorBidi"/>
          <w:color w:val="auto"/>
          <w:lang w:eastAsia="en-US" w:bidi="ar-SA"/>
        </w:rPr>
        <w:t xml:space="preserve">                              </w:t>
      </w:r>
      <w:r w:rsidR="00196551">
        <w:rPr>
          <w:rFonts w:eastAsiaTheme="minorHAnsi" w:cstheme="minorBidi"/>
          <w:color w:val="auto"/>
          <w:lang w:eastAsia="en-US" w:bidi="ar-SA"/>
        </w:rPr>
        <w:t>станций</w:t>
      </w:r>
      <w:r w:rsidR="00196551">
        <w:rPr>
          <w:color w:val="auto"/>
        </w:rPr>
        <w:t xml:space="preserve">,» исключить, после слов «грузового транспорта» дополнить </w:t>
      </w:r>
      <w:r w:rsidR="00F1166F">
        <w:rPr>
          <w:color w:val="auto"/>
        </w:rPr>
        <w:t xml:space="preserve">                  </w:t>
      </w:r>
      <w:r w:rsidR="00196551">
        <w:rPr>
          <w:color w:val="auto"/>
        </w:rPr>
        <w:t>словами</w:t>
      </w:r>
      <w:r w:rsidR="00F1166F">
        <w:rPr>
          <w:color w:val="auto"/>
        </w:rPr>
        <w:t xml:space="preserve"> </w:t>
      </w:r>
      <w:r w:rsidR="00196551">
        <w:rPr>
          <w:color w:val="auto"/>
        </w:rPr>
        <w:t>«, транспортно-логистических центров».</w:t>
      </w:r>
    </w:p>
    <w:p w14:paraId="0DF1C39D" w14:textId="77777777" w:rsidR="0096513E" w:rsidRDefault="00196551" w:rsidP="0096513E">
      <w:pPr>
        <w:pStyle w:val="11"/>
        <w:ind w:firstLine="709"/>
        <w:jc w:val="both"/>
        <w:rPr>
          <w:rFonts w:eastAsia="Calibri"/>
          <w:b/>
          <w:bCs/>
          <w:color w:val="auto"/>
        </w:rPr>
      </w:pPr>
      <w:r>
        <w:rPr>
          <w:rFonts w:eastAsia="Calibri"/>
          <w:b/>
          <w:bCs/>
          <w:color w:val="auto"/>
        </w:rPr>
        <w:t>Статья 2</w:t>
      </w:r>
    </w:p>
    <w:p w14:paraId="5B2FAEB0" w14:textId="36AC6029" w:rsidR="00803C87" w:rsidRPr="0096513E" w:rsidRDefault="00196551" w:rsidP="0096513E">
      <w:pPr>
        <w:pStyle w:val="11"/>
        <w:spacing w:after="0"/>
        <w:ind w:firstLine="709"/>
        <w:jc w:val="both"/>
        <w:rPr>
          <w:color w:val="auto"/>
        </w:rPr>
      </w:pPr>
      <w:r>
        <w:rPr>
          <w:rFonts w:eastAsia="Calibri"/>
        </w:rPr>
        <w:t xml:space="preserve">Настоящий Закон вступает в силу </w:t>
      </w:r>
      <w:r>
        <w:t>со дня его официального опубликования.</w:t>
      </w:r>
    </w:p>
    <w:p w14:paraId="2EBC60DB" w14:textId="77777777" w:rsidR="00877A17" w:rsidRPr="00877A17" w:rsidRDefault="00877A17" w:rsidP="00877A17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BDC8329" w14:textId="77777777" w:rsidR="00877A17" w:rsidRPr="00877A17" w:rsidRDefault="00877A17" w:rsidP="00877A17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5A067F4" w14:textId="77777777" w:rsidR="00877A17" w:rsidRPr="00877A17" w:rsidRDefault="00877A17" w:rsidP="00877A17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5C0CDFD" w14:textId="77777777" w:rsidR="00877A17" w:rsidRPr="00877A17" w:rsidRDefault="00877A17" w:rsidP="00877A17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0AB2E4A" w14:textId="77777777" w:rsidR="00877A17" w:rsidRPr="00877A17" w:rsidRDefault="00877A17" w:rsidP="00877A1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621B9C61" w14:textId="77777777" w:rsidR="00877A17" w:rsidRPr="00877A17" w:rsidRDefault="00877A17" w:rsidP="00877A1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   Д.В. </w:t>
      </w:r>
      <w:proofErr w:type="spellStart"/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584B2ABA" w14:textId="77777777" w:rsidR="00877A17" w:rsidRPr="00877A17" w:rsidRDefault="00877A17" w:rsidP="00877A1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56B2F437" w14:textId="77777777" w:rsidR="00877A17" w:rsidRPr="00877A17" w:rsidRDefault="00877A17" w:rsidP="00877A17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2A4FC93C" w14:textId="70062D08" w:rsidR="00877A17" w:rsidRPr="00877A17" w:rsidRDefault="00AA5DBB" w:rsidP="00877A17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11 августа</w:t>
      </w:r>
      <w:r w:rsidR="00877A17"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2025 года</w:t>
      </w:r>
    </w:p>
    <w:p w14:paraId="51E7C1D0" w14:textId="49AF0EFA" w:rsidR="00877A17" w:rsidRPr="00877A17" w:rsidRDefault="00877A17" w:rsidP="00877A17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77A1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AA5DB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209-РЗ</w:t>
      </w:r>
    </w:p>
    <w:p w14:paraId="3DB8A5EE" w14:textId="66FB0D11" w:rsidR="00803C87" w:rsidRDefault="00803C87" w:rsidP="00482217">
      <w:pPr>
        <w:pStyle w:val="align-right"/>
        <w:tabs>
          <w:tab w:val="left" w:pos="6946"/>
        </w:tabs>
        <w:spacing w:beforeAutospacing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83140E2" w14:textId="21EDEE56" w:rsidR="0094397F" w:rsidRDefault="0094397F" w:rsidP="00482217">
      <w:pPr>
        <w:pStyle w:val="align-right"/>
        <w:tabs>
          <w:tab w:val="left" w:pos="6946"/>
        </w:tabs>
        <w:spacing w:beforeAutospacing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FDD2119" w14:textId="1C0EF1E7" w:rsidR="0094397F" w:rsidRDefault="0094397F" w:rsidP="00482217">
      <w:pPr>
        <w:pStyle w:val="align-right"/>
        <w:tabs>
          <w:tab w:val="left" w:pos="6946"/>
        </w:tabs>
        <w:spacing w:beforeAutospacing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462F061" w14:textId="77777777" w:rsidR="0094397F" w:rsidRDefault="0094397F" w:rsidP="00482217">
      <w:pPr>
        <w:pStyle w:val="align-right"/>
        <w:tabs>
          <w:tab w:val="left" w:pos="6946"/>
        </w:tabs>
        <w:spacing w:beforeAutospacing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_GoBack"/>
      <w:bookmarkEnd w:id="1"/>
    </w:p>
    <w:sectPr w:rsidR="0094397F" w:rsidSect="002B4560">
      <w:headerReference w:type="default" r:id="rId9"/>
      <w:headerReference w:type="first" r:id="rId10"/>
      <w:pgSz w:w="11906" w:h="16838"/>
      <w:pgMar w:top="1134" w:right="567" w:bottom="1077" w:left="1701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8DEA" w14:textId="77777777" w:rsidR="00111769" w:rsidRDefault="00111769">
      <w:r>
        <w:separator/>
      </w:r>
    </w:p>
  </w:endnote>
  <w:endnote w:type="continuationSeparator" w:id="0">
    <w:p w14:paraId="6EA1F9BB" w14:textId="77777777" w:rsidR="00111769" w:rsidRDefault="0011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DFC21" w14:textId="77777777" w:rsidR="00111769" w:rsidRDefault="00111769">
      <w:r>
        <w:separator/>
      </w:r>
    </w:p>
  </w:footnote>
  <w:footnote w:type="continuationSeparator" w:id="0">
    <w:p w14:paraId="2CAD605C" w14:textId="77777777" w:rsidR="00111769" w:rsidRDefault="00111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CE2C" w14:textId="715058C5" w:rsidR="00803C87" w:rsidRPr="00DE3F6C" w:rsidRDefault="00196551">
    <w:pPr>
      <w:pStyle w:val="ae"/>
      <w:jc w:val="center"/>
      <w:rPr>
        <w:rFonts w:ascii="Times New Roman" w:hAnsi="Times New Roman"/>
      </w:rPr>
    </w:pPr>
    <w:r w:rsidRPr="00DE3F6C">
      <w:rPr>
        <w:rFonts w:ascii="Times New Roman" w:hAnsi="Times New Roman"/>
      </w:rPr>
      <w:fldChar w:fldCharType="begin"/>
    </w:r>
    <w:r w:rsidRPr="00DE3F6C">
      <w:rPr>
        <w:rFonts w:ascii="Times New Roman" w:hAnsi="Times New Roman"/>
      </w:rPr>
      <w:instrText xml:space="preserve"> PAGE </w:instrText>
    </w:r>
    <w:r w:rsidRPr="00DE3F6C">
      <w:rPr>
        <w:rFonts w:ascii="Times New Roman" w:hAnsi="Times New Roman"/>
      </w:rPr>
      <w:fldChar w:fldCharType="separate"/>
    </w:r>
    <w:r w:rsidR="0094397F">
      <w:rPr>
        <w:rFonts w:ascii="Times New Roman" w:hAnsi="Times New Roman"/>
        <w:noProof/>
      </w:rPr>
      <w:t>2</w:t>
    </w:r>
    <w:r w:rsidRPr="00DE3F6C">
      <w:rPr>
        <w:rFonts w:ascii="Times New Roman" w:hAnsi="Times New Roman"/>
      </w:rPr>
      <w:fldChar w:fldCharType="end"/>
    </w:r>
  </w:p>
  <w:p w14:paraId="20E017F6" w14:textId="77777777" w:rsidR="002B4560" w:rsidRDefault="002B4560">
    <w:pPr>
      <w:pStyle w:val="ae"/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0D7E4" w14:textId="77777777" w:rsidR="00803C87" w:rsidRDefault="00803C87">
    <w:pPr>
      <w:pStyle w:val="ae"/>
      <w:jc w:val="center"/>
      <w:rPr>
        <w:rFonts w:ascii="Times New Roman" w:hAnsi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87"/>
    <w:rsid w:val="00022CEE"/>
    <w:rsid w:val="00111769"/>
    <w:rsid w:val="00196551"/>
    <w:rsid w:val="00280BD4"/>
    <w:rsid w:val="002B4560"/>
    <w:rsid w:val="00321D9C"/>
    <w:rsid w:val="00447912"/>
    <w:rsid w:val="00482217"/>
    <w:rsid w:val="0059549E"/>
    <w:rsid w:val="007C7057"/>
    <w:rsid w:val="00803C87"/>
    <w:rsid w:val="00877A17"/>
    <w:rsid w:val="0094397F"/>
    <w:rsid w:val="0096513E"/>
    <w:rsid w:val="00A6299F"/>
    <w:rsid w:val="00AA5DBB"/>
    <w:rsid w:val="00C77679"/>
    <w:rsid w:val="00CB3DE2"/>
    <w:rsid w:val="00D370B0"/>
    <w:rsid w:val="00DE3F6C"/>
    <w:rsid w:val="00E04753"/>
    <w:rsid w:val="00E66823"/>
    <w:rsid w:val="00F1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03B6"/>
  <w15:docId w15:val="{8664C1F3-C793-42FC-B0FD-6FE95495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4B3E3D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4"/>
      <w:szCs w:val="44"/>
      <w:u w:val="none"/>
      <w:shd w:val="clear" w:color="auto" w:fill="auto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7B4543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qFormat/>
    <w:rsid w:val="004B3E3D"/>
    <w:rPr>
      <w:rFonts w:ascii="Times New Roman" w:eastAsia="Times New Roman" w:hAnsi="Times New Roman" w:cs="Times New Roman"/>
      <w:b/>
      <w:bCs/>
      <w:kern w:val="2"/>
      <w:sz w:val="48"/>
      <w:szCs w:val="48"/>
      <w:lang w:bidi="ar-SA"/>
    </w:rPr>
  </w:style>
  <w:style w:type="paragraph" w:customStyle="1" w:styleId="12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Основной текст1"/>
    <w:basedOn w:val="a"/>
    <w:link w:val="a3"/>
    <w:qFormat/>
    <w:pPr>
      <w:spacing w:after="360" w:line="276" w:lineRule="auto"/>
      <w:ind w:firstLine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qFormat/>
    <w:pPr>
      <w:spacing w:after="1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qFormat/>
    <w:pPr>
      <w:spacing w:after="7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b">
    <w:name w:val="List Paragraph"/>
    <w:basedOn w:val="a"/>
    <w:uiPriority w:val="34"/>
    <w:qFormat/>
    <w:rsid w:val="002012A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23619"/>
    <w:pPr>
      <w:widowControl w:val="0"/>
    </w:pPr>
    <w:rPr>
      <w:rFonts w:ascii="Arial" w:eastAsia="Times New Roman" w:hAnsi="Arial" w:cs="Arial"/>
      <w:b/>
      <w:bCs/>
      <w:lang w:bidi="ar-SA"/>
    </w:rPr>
  </w:style>
  <w:style w:type="paragraph" w:customStyle="1" w:styleId="ConsPlusNormal">
    <w:name w:val="ConsPlusNormal"/>
    <w:qFormat/>
    <w:rsid w:val="006978D3"/>
    <w:pPr>
      <w:widowControl w:val="0"/>
    </w:pPr>
    <w:rPr>
      <w:rFonts w:ascii="Times New Roman" w:eastAsiaTheme="minorEastAsia" w:hAnsi="Times New Roman" w:cs="Times New Roman"/>
      <w:lang w:bidi="ar-SA"/>
    </w:rPr>
  </w:style>
  <w:style w:type="paragraph" w:styleId="a5">
    <w:name w:val="annotation text"/>
    <w:basedOn w:val="a"/>
    <w:link w:val="a4"/>
    <w:uiPriority w:val="99"/>
    <w:semiHidden/>
    <w:unhideWhenUsed/>
    <w:qFormat/>
    <w:rsid w:val="007B454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styleId="ac">
    <w:name w:val="Normal (Web)"/>
    <w:basedOn w:val="a"/>
    <w:uiPriority w:val="99"/>
    <w:unhideWhenUsed/>
    <w:qFormat/>
    <w:rsid w:val="007B4543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-right">
    <w:name w:val="align-right"/>
    <w:basedOn w:val="a"/>
    <w:qFormat/>
    <w:pPr>
      <w:spacing w:beforeAutospacing="1" w:afterAutospacing="1"/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d"/>
  </w:style>
  <w:style w:type="paragraph" w:styleId="af">
    <w:name w:val="footer"/>
    <w:basedOn w:val="a"/>
    <w:link w:val="af0"/>
    <w:uiPriority w:val="99"/>
    <w:unhideWhenUsed/>
    <w:rsid w:val="002B4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B4560"/>
    <w:rPr>
      <w:color w:val="000000"/>
    </w:rPr>
  </w:style>
  <w:style w:type="character" w:styleId="af1">
    <w:name w:val="Hyperlink"/>
    <w:basedOn w:val="a0"/>
    <w:uiPriority w:val="99"/>
    <w:unhideWhenUsed/>
    <w:rsid w:val="00AA5D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5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all/9150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pa.dnronline.su/2023-05-17/444-iins-ob-investitsionnoj-politike-i-gosudarstvennoj-podderzhke-investitsionnoj-deyatelnosti-v-donetskoj-narodnoj-respublike-dejstvuyushhaya-redaktsiya-po-sostoyaniyu-na-08-06-2023-g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3</cp:revision>
  <cp:lastPrinted>2025-08-08T11:01:00Z</cp:lastPrinted>
  <dcterms:created xsi:type="dcterms:W3CDTF">2025-08-12T08:39:00Z</dcterms:created>
  <dcterms:modified xsi:type="dcterms:W3CDTF">2025-08-12T08:50:00Z</dcterms:modified>
</cp:coreProperties>
</file>